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487F" w:rsidRDefault="00A17464" w:rsidP="00ED487F">
      <w:pPr>
        <w:jc w:val="center"/>
      </w:pPr>
      <w:r>
        <w:rPr>
          <w:noProof/>
        </w:rPr>
        <w:drawing>
          <wp:inline distT="0" distB="0" distL="0" distR="0">
            <wp:extent cx="2676524" cy="1428750"/>
            <wp:effectExtent l="19050" t="0" r="0" b="0"/>
            <wp:docPr id="11" name="Picture 0" descr="logo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Big.jpg"/>
                    <pic:cNvPicPr>
                      <a:picLocks noChangeAspect="1" noChangeArrowheads="1"/>
                    </pic:cNvPicPr>
                  </pic:nvPicPr>
                  <pic:blipFill>
                    <a:blip r:embed="rId8" cstate="print"/>
                    <a:stretch>
                      <a:fillRect/>
                    </a:stretch>
                  </pic:blipFill>
                  <pic:spPr bwMode="auto">
                    <a:xfrm>
                      <a:off x="0" y="0"/>
                      <a:ext cx="2678046" cy="1429230"/>
                    </a:xfrm>
                    <a:prstGeom prst="rect">
                      <a:avLst/>
                    </a:prstGeom>
                    <a:noFill/>
                    <a:ln w="9525">
                      <a:noFill/>
                      <a:miter lim="800000"/>
                      <a:headEnd/>
                      <a:tailEnd/>
                    </a:ln>
                  </pic:spPr>
                </pic:pic>
              </a:graphicData>
            </a:graphic>
          </wp:inline>
        </w:drawing>
      </w:r>
    </w:p>
    <w:p w:rsidR="00F63060" w:rsidRDefault="00F63060" w:rsidP="00F63060">
      <w:pPr>
        <w:pStyle w:val="Title"/>
      </w:pPr>
    </w:p>
    <w:p w:rsidR="00C44FA1" w:rsidRDefault="00733FA5" w:rsidP="00F63060">
      <w:pPr>
        <w:pStyle w:val="Title"/>
        <w:rPr>
          <w:sz w:val="36"/>
          <w:szCs w:val="36"/>
        </w:rPr>
      </w:pPr>
      <w:r w:rsidRPr="00F63060">
        <w:t xml:space="preserve">FEDERAL LAW 100 </w:t>
      </w:r>
      <w:r w:rsidR="00F63060">
        <w:t>–</w:t>
      </w:r>
      <w:r w:rsidRPr="00F63060">
        <w:t xml:space="preserve"> T</w:t>
      </w:r>
      <w:r w:rsidR="00F63060">
        <w:t>ruth in Lending Act (Regulation z)</w:t>
      </w:r>
      <w:r w:rsidR="00ED487F" w:rsidRPr="00F63060">
        <w:br/>
      </w:r>
    </w:p>
    <w:p w:rsidR="00ED487F" w:rsidRDefault="00ED487F" w:rsidP="00ED487F"/>
    <w:p w:rsidR="00F63060" w:rsidRDefault="00F63060" w:rsidP="00ED487F"/>
    <w:p w:rsidR="00F63060" w:rsidRDefault="00F63060" w:rsidP="00ED487F"/>
    <w:p w:rsidR="00ED487F" w:rsidRDefault="00A17464" w:rsidP="00ED487F">
      <w:pPr>
        <w:jc w:val="center"/>
        <w:rPr>
          <w:color w:val="E36C0A" w:themeColor="accent6" w:themeShade="BF"/>
          <w:sz w:val="56"/>
          <w:szCs w:val="56"/>
        </w:rPr>
      </w:pPr>
      <w:r>
        <w:rPr>
          <w:noProof/>
          <w:color w:val="E36C0A" w:themeColor="accent6" w:themeShade="BF"/>
          <w:sz w:val="56"/>
          <w:szCs w:val="56"/>
        </w:rPr>
        <w:drawing>
          <wp:inline distT="0" distB="0" distL="0" distR="0">
            <wp:extent cx="5481105" cy="1598212"/>
            <wp:effectExtent l="76200" t="0" r="43395" b="440138"/>
            <wp:docPr id="10" name="Di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9B3B38" w:rsidRDefault="009B3B38" w:rsidP="009B3B38">
      <w:pPr>
        <w:ind w:right="1170"/>
        <w:jc w:val="both"/>
        <w:rPr>
          <w:sz w:val="24"/>
          <w:szCs w:val="24"/>
        </w:rPr>
      </w:pPr>
    </w:p>
    <w:p w:rsidR="009B3B38" w:rsidRDefault="009B3B38">
      <w:pPr>
        <w:rPr>
          <w:sz w:val="24"/>
          <w:szCs w:val="24"/>
        </w:rPr>
      </w:pPr>
    </w:p>
    <w:p w:rsidR="0055176B" w:rsidRDefault="0055176B" w:rsidP="001103DC">
      <w:pPr>
        <w:autoSpaceDE w:val="0"/>
        <w:autoSpaceDN w:val="0"/>
        <w:adjustRightInd w:val="0"/>
        <w:ind w:left="1080" w:right="1170"/>
        <w:jc w:val="center"/>
        <w:rPr>
          <w:rFonts w:ascii="Humnst777 Lt BT" w:hAnsi="Humnst777 Lt BT"/>
          <w:color w:val="E36C0A" w:themeColor="accent6" w:themeShade="BF"/>
          <w:sz w:val="56"/>
          <w:szCs w:val="56"/>
        </w:rPr>
        <w:sectPr w:rsidR="0055176B" w:rsidSect="00491C63">
          <w:headerReference w:type="default" r:id="rId14"/>
          <w:footerReference w:type="default" r:id="rId15"/>
          <w:pgSz w:w="12240" w:h="15840"/>
          <w:pgMar w:top="1440" w:right="720" w:bottom="1440" w:left="720" w:header="720" w:footer="720" w:gutter="0"/>
          <w:cols w:space="720"/>
          <w:docGrid w:linePitch="360"/>
        </w:sectPr>
      </w:pPr>
    </w:p>
    <w:p w:rsidR="001103DC" w:rsidRDefault="00F51A47" w:rsidP="00F63060">
      <w:pPr>
        <w:pStyle w:val="Title"/>
      </w:pPr>
      <w:r>
        <w:lastRenderedPageBreak/>
        <w:t>O</w:t>
      </w:r>
      <w:r w:rsidR="001103DC">
        <w:t>utline</w:t>
      </w:r>
    </w:p>
    <w:p w:rsidR="00B259C9" w:rsidRDefault="00370EA4">
      <w:pPr>
        <w:pStyle w:val="TOC1"/>
        <w:tabs>
          <w:tab w:val="left" w:pos="440"/>
          <w:tab w:val="right" w:leader="dot" w:pos="10790"/>
        </w:tabs>
        <w:rPr>
          <w:rFonts w:asciiTheme="minorHAnsi" w:eastAsiaTheme="minorEastAsia" w:hAnsiTheme="minorHAnsi" w:cstheme="minorBidi"/>
          <w:noProof/>
        </w:rPr>
      </w:pPr>
      <w:r>
        <w:fldChar w:fldCharType="begin"/>
      </w:r>
      <w:r w:rsidR="00AF7B92">
        <w:instrText xml:space="preserve"> TOC \o "1-2" \h \z \u </w:instrText>
      </w:r>
      <w:r>
        <w:fldChar w:fldCharType="separate"/>
      </w:r>
      <w:hyperlink w:anchor="_Toc393811619" w:history="1">
        <w:r w:rsidR="00B259C9" w:rsidRPr="00376954">
          <w:rPr>
            <w:rStyle w:val="Hyperlink"/>
            <w:noProof/>
          </w:rPr>
          <w:t>I.</w:t>
        </w:r>
        <w:r w:rsidR="00B259C9">
          <w:rPr>
            <w:rFonts w:asciiTheme="minorHAnsi" w:eastAsiaTheme="minorEastAsia" w:hAnsiTheme="minorHAnsi" w:cstheme="minorBidi"/>
            <w:noProof/>
          </w:rPr>
          <w:tab/>
        </w:r>
        <w:r w:rsidR="00B259C9" w:rsidRPr="00376954">
          <w:rPr>
            <w:rStyle w:val="Hyperlink"/>
            <w:noProof/>
          </w:rPr>
          <w:t>Introduction and TILA Overview</w:t>
        </w:r>
        <w:r w:rsidR="00B259C9">
          <w:rPr>
            <w:noProof/>
            <w:webHidden/>
          </w:rPr>
          <w:tab/>
        </w:r>
        <w:r>
          <w:rPr>
            <w:noProof/>
            <w:webHidden/>
          </w:rPr>
          <w:fldChar w:fldCharType="begin"/>
        </w:r>
        <w:r w:rsidR="00B259C9">
          <w:rPr>
            <w:noProof/>
            <w:webHidden/>
          </w:rPr>
          <w:instrText xml:space="preserve"> PAGEREF _Toc393811619 \h </w:instrText>
        </w:r>
        <w:r>
          <w:rPr>
            <w:noProof/>
            <w:webHidden/>
          </w:rPr>
        </w:r>
        <w:r>
          <w:rPr>
            <w:noProof/>
            <w:webHidden/>
          </w:rPr>
          <w:fldChar w:fldCharType="separate"/>
        </w:r>
        <w:r w:rsidR="001B3F81">
          <w:rPr>
            <w:noProof/>
            <w:webHidden/>
          </w:rPr>
          <w:t>6</w:t>
        </w:r>
        <w:r>
          <w:rPr>
            <w:noProof/>
            <w:webHidden/>
          </w:rPr>
          <w:fldChar w:fldCharType="end"/>
        </w:r>
      </w:hyperlink>
    </w:p>
    <w:p w:rsidR="00B259C9" w:rsidRDefault="00370EA4">
      <w:pPr>
        <w:pStyle w:val="TOC2"/>
        <w:tabs>
          <w:tab w:val="left" w:pos="660"/>
          <w:tab w:val="right" w:leader="dot" w:pos="10790"/>
        </w:tabs>
        <w:rPr>
          <w:rFonts w:asciiTheme="minorHAnsi" w:eastAsiaTheme="minorEastAsia" w:hAnsiTheme="minorHAnsi" w:cstheme="minorBidi"/>
          <w:noProof/>
        </w:rPr>
      </w:pPr>
      <w:hyperlink w:anchor="_Toc393811620" w:history="1">
        <w:r w:rsidR="00B259C9" w:rsidRPr="00376954">
          <w:rPr>
            <w:rStyle w:val="Hyperlink"/>
            <w:noProof/>
          </w:rPr>
          <w:t>A.</w:t>
        </w:r>
        <w:r w:rsidR="00B259C9">
          <w:rPr>
            <w:rFonts w:asciiTheme="minorHAnsi" w:eastAsiaTheme="minorEastAsia" w:hAnsiTheme="minorHAnsi" w:cstheme="minorBidi"/>
            <w:noProof/>
          </w:rPr>
          <w:tab/>
        </w:r>
        <w:r w:rsidR="00B259C9" w:rsidRPr="00376954">
          <w:rPr>
            <w:rStyle w:val="Hyperlink"/>
            <w:noProof/>
          </w:rPr>
          <w:t>Introduction to TILA, HOEPA and MDIA</w:t>
        </w:r>
        <w:r w:rsidR="00B259C9">
          <w:rPr>
            <w:noProof/>
            <w:webHidden/>
          </w:rPr>
          <w:tab/>
        </w:r>
        <w:r>
          <w:rPr>
            <w:noProof/>
            <w:webHidden/>
          </w:rPr>
          <w:fldChar w:fldCharType="begin"/>
        </w:r>
        <w:r w:rsidR="00B259C9">
          <w:rPr>
            <w:noProof/>
            <w:webHidden/>
          </w:rPr>
          <w:instrText xml:space="preserve"> PAGEREF _Toc393811620 \h </w:instrText>
        </w:r>
        <w:r>
          <w:rPr>
            <w:noProof/>
            <w:webHidden/>
          </w:rPr>
        </w:r>
        <w:r>
          <w:rPr>
            <w:noProof/>
            <w:webHidden/>
          </w:rPr>
          <w:fldChar w:fldCharType="separate"/>
        </w:r>
        <w:r w:rsidR="001B3F81">
          <w:rPr>
            <w:noProof/>
            <w:webHidden/>
          </w:rPr>
          <w:t>6</w:t>
        </w:r>
        <w:r>
          <w:rPr>
            <w:noProof/>
            <w:webHidden/>
          </w:rPr>
          <w:fldChar w:fldCharType="end"/>
        </w:r>
      </w:hyperlink>
    </w:p>
    <w:p w:rsidR="00B259C9" w:rsidRDefault="00370EA4">
      <w:pPr>
        <w:pStyle w:val="TOC2"/>
        <w:tabs>
          <w:tab w:val="left" w:pos="660"/>
          <w:tab w:val="right" w:leader="dot" w:pos="10790"/>
        </w:tabs>
        <w:rPr>
          <w:rFonts w:asciiTheme="minorHAnsi" w:eastAsiaTheme="minorEastAsia" w:hAnsiTheme="minorHAnsi" w:cstheme="minorBidi"/>
          <w:noProof/>
        </w:rPr>
      </w:pPr>
      <w:hyperlink w:anchor="_Toc393811621" w:history="1">
        <w:r w:rsidR="00B259C9" w:rsidRPr="00376954">
          <w:rPr>
            <w:rStyle w:val="Hyperlink"/>
            <w:noProof/>
          </w:rPr>
          <w:t>B.</w:t>
        </w:r>
        <w:r w:rsidR="00B259C9">
          <w:rPr>
            <w:rFonts w:asciiTheme="minorHAnsi" w:eastAsiaTheme="minorEastAsia" w:hAnsiTheme="minorHAnsi" w:cstheme="minorBidi"/>
            <w:noProof/>
          </w:rPr>
          <w:tab/>
        </w:r>
        <w:r w:rsidR="00B259C9" w:rsidRPr="00376954">
          <w:rPr>
            <w:rStyle w:val="Hyperlink"/>
            <w:noProof/>
          </w:rPr>
          <w:t>Truth In Lending Act Overview</w:t>
        </w:r>
        <w:r w:rsidR="00B259C9">
          <w:rPr>
            <w:noProof/>
            <w:webHidden/>
          </w:rPr>
          <w:tab/>
        </w:r>
        <w:r>
          <w:rPr>
            <w:noProof/>
            <w:webHidden/>
          </w:rPr>
          <w:fldChar w:fldCharType="begin"/>
        </w:r>
        <w:r w:rsidR="00B259C9">
          <w:rPr>
            <w:noProof/>
            <w:webHidden/>
          </w:rPr>
          <w:instrText xml:space="preserve"> PAGEREF _Toc393811621 \h </w:instrText>
        </w:r>
        <w:r>
          <w:rPr>
            <w:noProof/>
            <w:webHidden/>
          </w:rPr>
        </w:r>
        <w:r>
          <w:rPr>
            <w:noProof/>
            <w:webHidden/>
          </w:rPr>
          <w:fldChar w:fldCharType="separate"/>
        </w:r>
        <w:r w:rsidR="001B3F81">
          <w:rPr>
            <w:noProof/>
            <w:webHidden/>
          </w:rPr>
          <w:t>7</w:t>
        </w:r>
        <w:r>
          <w:rPr>
            <w:noProof/>
            <w:webHidden/>
          </w:rPr>
          <w:fldChar w:fldCharType="end"/>
        </w:r>
      </w:hyperlink>
    </w:p>
    <w:p w:rsidR="00B259C9" w:rsidRDefault="00370EA4">
      <w:pPr>
        <w:pStyle w:val="TOC2"/>
        <w:tabs>
          <w:tab w:val="left" w:pos="660"/>
          <w:tab w:val="right" w:leader="dot" w:pos="10790"/>
        </w:tabs>
        <w:rPr>
          <w:rFonts w:asciiTheme="minorHAnsi" w:eastAsiaTheme="minorEastAsia" w:hAnsiTheme="minorHAnsi" w:cstheme="minorBidi"/>
          <w:noProof/>
        </w:rPr>
      </w:pPr>
      <w:hyperlink w:anchor="_Toc393811622" w:history="1">
        <w:r w:rsidR="00B259C9" w:rsidRPr="00376954">
          <w:rPr>
            <w:rStyle w:val="Hyperlink"/>
            <w:noProof/>
          </w:rPr>
          <w:t>C.</w:t>
        </w:r>
        <w:r w:rsidR="00B259C9">
          <w:rPr>
            <w:rFonts w:asciiTheme="minorHAnsi" w:eastAsiaTheme="minorEastAsia" w:hAnsiTheme="minorHAnsi" w:cstheme="minorBidi"/>
            <w:noProof/>
          </w:rPr>
          <w:tab/>
        </w:r>
        <w:r w:rsidR="00B259C9" w:rsidRPr="00376954">
          <w:rPr>
            <w:rStyle w:val="Hyperlink"/>
            <w:noProof/>
          </w:rPr>
          <w:t>Summary of Purpose of TILA and Reg. Z</w:t>
        </w:r>
        <w:r w:rsidR="00B259C9">
          <w:rPr>
            <w:noProof/>
            <w:webHidden/>
          </w:rPr>
          <w:tab/>
        </w:r>
        <w:r>
          <w:rPr>
            <w:noProof/>
            <w:webHidden/>
          </w:rPr>
          <w:fldChar w:fldCharType="begin"/>
        </w:r>
        <w:r w:rsidR="00B259C9">
          <w:rPr>
            <w:noProof/>
            <w:webHidden/>
          </w:rPr>
          <w:instrText xml:space="preserve"> PAGEREF _Toc393811622 \h </w:instrText>
        </w:r>
        <w:r>
          <w:rPr>
            <w:noProof/>
            <w:webHidden/>
          </w:rPr>
        </w:r>
        <w:r>
          <w:rPr>
            <w:noProof/>
            <w:webHidden/>
          </w:rPr>
          <w:fldChar w:fldCharType="separate"/>
        </w:r>
        <w:r w:rsidR="001B3F81">
          <w:rPr>
            <w:noProof/>
            <w:webHidden/>
          </w:rPr>
          <w:t>8</w:t>
        </w:r>
        <w:r>
          <w:rPr>
            <w:noProof/>
            <w:webHidden/>
          </w:rPr>
          <w:fldChar w:fldCharType="end"/>
        </w:r>
      </w:hyperlink>
    </w:p>
    <w:p w:rsidR="00B259C9" w:rsidRDefault="00370EA4">
      <w:pPr>
        <w:pStyle w:val="TOC2"/>
        <w:tabs>
          <w:tab w:val="left" w:pos="660"/>
          <w:tab w:val="right" w:leader="dot" w:pos="10790"/>
        </w:tabs>
        <w:rPr>
          <w:rFonts w:asciiTheme="minorHAnsi" w:eastAsiaTheme="minorEastAsia" w:hAnsiTheme="minorHAnsi" w:cstheme="minorBidi"/>
          <w:noProof/>
        </w:rPr>
      </w:pPr>
      <w:hyperlink w:anchor="_Toc393811623" w:history="1">
        <w:r w:rsidR="00B259C9" w:rsidRPr="00376954">
          <w:rPr>
            <w:rStyle w:val="Hyperlink"/>
            <w:noProof/>
          </w:rPr>
          <w:t>D.</w:t>
        </w:r>
        <w:r w:rsidR="00B259C9">
          <w:rPr>
            <w:rFonts w:asciiTheme="minorHAnsi" w:eastAsiaTheme="minorEastAsia" w:hAnsiTheme="minorHAnsi" w:cstheme="minorBidi"/>
            <w:noProof/>
          </w:rPr>
          <w:tab/>
        </w:r>
        <w:r w:rsidR="00B259C9" w:rsidRPr="00376954">
          <w:rPr>
            <w:rStyle w:val="Hyperlink"/>
            <w:noProof/>
          </w:rPr>
          <w:t>TILA Index</w:t>
        </w:r>
        <w:r w:rsidR="00B259C9">
          <w:rPr>
            <w:noProof/>
            <w:webHidden/>
          </w:rPr>
          <w:tab/>
        </w:r>
        <w:r>
          <w:rPr>
            <w:noProof/>
            <w:webHidden/>
          </w:rPr>
          <w:fldChar w:fldCharType="begin"/>
        </w:r>
        <w:r w:rsidR="00B259C9">
          <w:rPr>
            <w:noProof/>
            <w:webHidden/>
          </w:rPr>
          <w:instrText xml:space="preserve"> PAGEREF _Toc393811623 \h </w:instrText>
        </w:r>
        <w:r>
          <w:rPr>
            <w:noProof/>
            <w:webHidden/>
          </w:rPr>
        </w:r>
        <w:r>
          <w:rPr>
            <w:noProof/>
            <w:webHidden/>
          </w:rPr>
          <w:fldChar w:fldCharType="separate"/>
        </w:r>
        <w:r w:rsidR="001B3F81">
          <w:rPr>
            <w:noProof/>
            <w:webHidden/>
          </w:rPr>
          <w:t>8</w:t>
        </w:r>
        <w:r>
          <w:rPr>
            <w:noProof/>
            <w:webHidden/>
          </w:rPr>
          <w:fldChar w:fldCharType="end"/>
        </w:r>
      </w:hyperlink>
    </w:p>
    <w:p w:rsidR="00B259C9" w:rsidRDefault="00370EA4">
      <w:pPr>
        <w:pStyle w:val="TOC1"/>
        <w:tabs>
          <w:tab w:val="left" w:pos="440"/>
          <w:tab w:val="right" w:leader="dot" w:pos="10790"/>
        </w:tabs>
        <w:rPr>
          <w:rFonts w:asciiTheme="minorHAnsi" w:eastAsiaTheme="minorEastAsia" w:hAnsiTheme="minorHAnsi" w:cstheme="minorBidi"/>
          <w:noProof/>
        </w:rPr>
      </w:pPr>
      <w:hyperlink w:anchor="_Toc393811624" w:history="1">
        <w:r w:rsidR="00B259C9" w:rsidRPr="00376954">
          <w:rPr>
            <w:rStyle w:val="Hyperlink"/>
            <w:noProof/>
          </w:rPr>
          <w:t>II.</w:t>
        </w:r>
        <w:r w:rsidR="00B259C9">
          <w:rPr>
            <w:rFonts w:asciiTheme="minorHAnsi" w:eastAsiaTheme="minorEastAsia" w:hAnsiTheme="minorHAnsi" w:cstheme="minorBidi"/>
            <w:noProof/>
          </w:rPr>
          <w:tab/>
        </w:r>
        <w:r w:rsidR="00B259C9" w:rsidRPr="00376954">
          <w:rPr>
            <w:rStyle w:val="Hyperlink"/>
            <w:noProof/>
          </w:rPr>
          <w:t>APR and Finance Charge Disclosure</w:t>
        </w:r>
        <w:r w:rsidR="00B259C9">
          <w:rPr>
            <w:noProof/>
            <w:webHidden/>
          </w:rPr>
          <w:tab/>
        </w:r>
        <w:r>
          <w:rPr>
            <w:noProof/>
            <w:webHidden/>
          </w:rPr>
          <w:fldChar w:fldCharType="begin"/>
        </w:r>
        <w:r w:rsidR="00B259C9">
          <w:rPr>
            <w:noProof/>
            <w:webHidden/>
          </w:rPr>
          <w:instrText xml:space="preserve"> PAGEREF _Toc393811624 \h </w:instrText>
        </w:r>
        <w:r>
          <w:rPr>
            <w:noProof/>
            <w:webHidden/>
          </w:rPr>
        </w:r>
        <w:r>
          <w:rPr>
            <w:noProof/>
            <w:webHidden/>
          </w:rPr>
          <w:fldChar w:fldCharType="separate"/>
        </w:r>
        <w:r w:rsidR="001B3F81">
          <w:rPr>
            <w:noProof/>
            <w:webHidden/>
          </w:rPr>
          <w:t>10</w:t>
        </w:r>
        <w:r>
          <w:rPr>
            <w:noProof/>
            <w:webHidden/>
          </w:rPr>
          <w:fldChar w:fldCharType="end"/>
        </w:r>
      </w:hyperlink>
    </w:p>
    <w:p w:rsidR="00B259C9" w:rsidRDefault="00370EA4">
      <w:pPr>
        <w:pStyle w:val="TOC2"/>
        <w:tabs>
          <w:tab w:val="left" w:pos="660"/>
          <w:tab w:val="right" w:leader="dot" w:pos="10790"/>
        </w:tabs>
        <w:rPr>
          <w:rFonts w:asciiTheme="minorHAnsi" w:eastAsiaTheme="minorEastAsia" w:hAnsiTheme="minorHAnsi" w:cstheme="minorBidi"/>
          <w:noProof/>
        </w:rPr>
      </w:pPr>
      <w:hyperlink w:anchor="_Toc393811625" w:history="1">
        <w:r w:rsidR="00B259C9" w:rsidRPr="00376954">
          <w:rPr>
            <w:rStyle w:val="Hyperlink"/>
            <w:noProof/>
          </w:rPr>
          <w:t>A.</w:t>
        </w:r>
        <w:r w:rsidR="00B259C9">
          <w:rPr>
            <w:rFonts w:asciiTheme="minorHAnsi" w:eastAsiaTheme="minorEastAsia" w:hAnsiTheme="minorHAnsi" w:cstheme="minorBidi"/>
            <w:noProof/>
          </w:rPr>
          <w:tab/>
        </w:r>
        <w:r w:rsidR="00B259C9" w:rsidRPr="00376954">
          <w:rPr>
            <w:rStyle w:val="Hyperlink"/>
            <w:noProof/>
          </w:rPr>
          <w:t>Annual Percentage Rate (APR) (Part 1026.14)</w:t>
        </w:r>
        <w:r w:rsidR="00B259C9">
          <w:rPr>
            <w:noProof/>
            <w:webHidden/>
          </w:rPr>
          <w:tab/>
        </w:r>
        <w:r>
          <w:rPr>
            <w:noProof/>
            <w:webHidden/>
          </w:rPr>
          <w:fldChar w:fldCharType="begin"/>
        </w:r>
        <w:r w:rsidR="00B259C9">
          <w:rPr>
            <w:noProof/>
            <w:webHidden/>
          </w:rPr>
          <w:instrText xml:space="preserve"> PAGEREF _Toc393811625 \h </w:instrText>
        </w:r>
        <w:r>
          <w:rPr>
            <w:noProof/>
            <w:webHidden/>
          </w:rPr>
        </w:r>
        <w:r>
          <w:rPr>
            <w:noProof/>
            <w:webHidden/>
          </w:rPr>
          <w:fldChar w:fldCharType="separate"/>
        </w:r>
        <w:r w:rsidR="001B3F81">
          <w:rPr>
            <w:noProof/>
            <w:webHidden/>
          </w:rPr>
          <w:t>10</w:t>
        </w:r>
        <w:r>
          <w:rPr>
            <w:noProof/>
            <w:webHidden/>
          </w:rPr>
          <w:fldChar w:fldCharType="end"/>
        </w:r>
      </w:hyperlink>
    </w:p>
    <w:p w:rsidR="00B259C9" w:rsidRDefault="00370EA4">
      <w:pPr>
        <w:pStyle w:val="TOC2"/>
        <w:tabs>
          <w:tab w:val="left" w:pos="660"/>
          <w:tab w:val="right" w:leader="dot" w:pos="10790"/>
        </w:tabs>
        <w:rPr>
          <w:rFonts w:asciiTheme="minorHAnsi" w:eastAsiaTheme="minorEastAsia" w:hAnsiTheme="minorHAnsi" w:cstheme="minorBidi"/>
          <w:noProof/>
        </w:rPr>
      </w:pPr>
      <w:hyperlink w:anchor="_Toc393811626" w:history="1">
        <w:r w:rsidR="00B259C9" w:rsidRPr="00376954">
          <w:rPr>
            <w:rStyle w:val="Hyperlink"/>
            <w:noProof/>
          </w:rPr>
          <w:t>B.</w:t>
        </w:r>
        <w:r w:rsidR="00B259C9">
          <w:rPr>
            <w:rFonts w:asciiTheme="minorHAnsi" w:eastAsiaTheme="minorEastAsia" w:hAnsiTheme="minorHAnsi" w:cstheme="minorBidi"/>
            <w:noProof/>
          </w:rPr>
          <w:tab/>
        </w:r>
        <w:r w:rsidR="00B259C9" w:rsidRPr="00376954">
          <w:rPr>
            <w:rStyle w:val="Hyperlink"/>
            <w:noProof/>
          </w:rPr>
          <w:t>Finance Charges (Part 1026.4)</w:t>
        </w:r>
        <w:r w:rsidR="00B259C9">
          <w:rPr>
            <w:noProof/>
            <w:webHidden/>
          </w:rPr>
          <w:tab/>
        </w:r>
        <w:r>
          <w:rPr>
            <w:noProof/>
            <w:webHidden/>
          </w:rPr>
          <w:fldChar w:fldCharType="begin"/>
        </w:r>
        <w:r w:rsidR="00B259C9">
          <w:rPr>
            <w:noProof/>
            <w:webHidden/>
          </w:rPr>
          <w:instrText xml:space="preserve"> PAGEREF _Toc393811626 \h </w:instrText>
        </w:r>
        <w:r>
          <w:rPr>
            <w:noProof/>
            <w:webHidden/>
          </w:rPr>
        </w:r>
        <w:r>
          <w:rPr>
            <w:noProof/>
            <w:webHidden/>
          </w:rPr>
          <w:fldChar w:fldCharType="separate"/>
        </w:r>
        <w:r w:rsidR="001B3F81">
          <w:rPr>
            <w:noProof/>
            <w:webHidden/>
          </w:rPr>
          <w:t>10</w:t>
        </w:r>
        <w:r>
          <w:rPr>
            <w:noProof/>
            <w:webHidden/>
          </w:rPr>
          <w:fldChar w:fldCharType="end"/>
        </w:r>
      </w:hyperlink>
    </w:p>
    <w:p w:rsidR="00B259C9" w:rsidRDefault="00370EA4">
      <w:pPr>
        <w:pStyle w:val="TOC2"/>
        <w:tabs>
          <w:tab w:val="left" w:pos="660"/>
          <w:tab w:val="right" w:leader="dot" w:pos="10790"/>
        </w:tabs>
        <w:rPr>
          <w:rFonts w:asciiTheme="minorHAnsi" w:eastAsiaTheme="minorEastAsia" w:hAnsiTheme="minorHAnsi" w:cstheme="minorBidi"/>
          <w:noProof/>
        </w:rPr>
      </w:pPr>
      <w:hyperlink w:anchor="_Toc393811627" w:history="1">
        <w:r w:rsidR="00B259C9" w:rsidRPr="00376954">
          <w:rPr>
            <w:rStyle w:val="Hyperlink"/>
            <w:noProof/>
          </w:rPr>
          <w:t>C.</w:t>
        </w:r>
        <w:r w:rsidR="00B259C9">
          <w:rPr>
            <w:rFonts w:asciiTheme="minorHAnsi" w:eastAsiaTheme="minorEastAsia" w:hAnsiTheme="minorHAnsi" w:cstheme="minorBidi"/>
            <w:noProof/>
          </w:rPr>
          <w:tab/>
        </w:r>
        <w:r w:rsidR="00B259C9" w:rsidRPr="00376954">
          <w:rPr>
            <w:rStyle w:val="Hyperlink"/>
            <w:noProof/>
          </w:rPr>
          <w:t>Amount Financed and Total Payments (Part 1026.18)</w:t>
        </w:r>
        <w:r w:rsidR="00B259C9">
          <w:rPr>
            <w:noProof/>
            <w:webHidden/>
          </w:rPr>
          <w:tab/>
        </w:r>
        <w:r>
          <w:rPr>
            <w:noProof/>
            <w:webHidden/>
          </w:rPr>
          <w:fldChar w:fldCharType="begin"/>
        </w:r>
        <w:r w:rsidR="00B259C9">
          <w:rPr>
            <w:noProof/>
            <w:webHidden/>
          </w:rPr>
          <w:instrText xml:space="preserve"> PAGEREF _Toc393811627 \h </w:instrText>
        </w:r>
        <w:r>
          <w:rPr>
            <w:noProof/>
            <w:webHidden/>
          </w:rPr>
        </w:r>
        <w:r>
          <w:rPr>
            <w:noProof/>
            <w:webHidden/>
          </w:rPr>
          <w:fldChar w:fldCharType="separate"/>
        </w:r>
        <w:r w:rsidR="001B3F81">
          <w:rPr>
            <w:noProof/>
            <w:webHidden/>
          </w:rPr>
          <w:t>15</w:t>
        </w:r>
        <w:r>
          <w:rPr>
            <w:noProof/>
            <w:webHidden/>
          </w:rPr>
          <w:fldChar w:fldCharType="end"/>
        </w:r>
      </w:hyperlink>
    </w:p>
    <w:p w:rsidR="00B259C9" w:rsidRDefault="00370EA4">
      <w:pPr>
        <w:pStyle w:val="TOC2"/>
        <w:tabs>
          <w:tab w:val="left" w:pos="660"/>
          <w:tab w:val="right" w:leader="dot" w:pos="10790"/>
        </w:tabs>
        <w:rPr>
          <w:rFonts w:asciiTheme="minorHAnsi" w:eastAsiaTheme="minorEastAsia" w:hAnsiTheme="minorHAnsi" w:cstheme="minorBidi"/>
          <w:noProof/>
        </w:rPr>
      </w:pPr>
      <w:hyperlink w:anchor="_Toc393811628" w:history="1">
        <w:r w:rsidR="00B259C9" w:rsidRPr="00376954">
          <w:rPr>
            <w:rStyle w:val="Hyperlink"/>
            <w:noProof/>
          </w:rPr>
          <w:t>D.</w:t>
        </w:r>
        <w:r w:rsidR="00B259C9">
          <w:rPr>
            <w:rFonts w:asciiTheme="minorHAnsi" w:eastAsiaTheme="minorEastAsia" w:hAnsiTheme="minorHAnsi" w:cstheme="minorBidi"/>
            <w:noProof/>
          </w:rPr>
          <w:tab/>
        </w:r>
        <w:r w:rsidR="00B259C9" w:rsidRPr="00376954">
          <w:rPr>
            <w:rStyle w:val="Hyperlink"/>
            <w:noProof/>
          </w:rPr>
          <w:t>Accuracy Tolerance for Closed-End Credits (Part 1026.18(d))</w:t>
        </w:r>
        <w:r w:rsidR="00B259C9">
          <w:rPr>
            <w:noProof/>
            <w:webHidden/>
          </w:rPr>
          <w:tab/>
        </w:r>
        <w:r>
          <w:rPr>
            <w:noProof/>
            <w:webHidden/>
          </w:rPr>
          <w:fldChar w:fldCharType="begin"/>
        </w:r>
        <w:r w:rsidR="00B259C9">
          <w:rPr>
            <w:noProof/>
            <w:webHidden/>
          </w:rPr>
          <w:instrText xml:space="preserve"> PAGEREF _Toc393811628 \h </w:instrText>
        </w:r>
        <w:r>
          <w:rPr>
            <w:noProof/>
            <w:webHidden/>
          </w:rPr>
        </w:r>
        <w:r>
          <w:rPr>
            <w:noProof/>
            <w:webHidden/>
          </w:rPr>
          <w:fldChar w:fldCharType="separate"/>
        </w:r>
        <w:r w:rsidR="001B3F81">
          <w:rPr>
            <w:noProof/>
            <w:webHidden/>
          </w:rPr>
          <w:t>15</w:t>
        </w:r>
        <w:r>
          <w:rPr>
            <w:noProof/>
            <w:webHidden/>
          </w:rPr>
          <w:fldChar w:fldCharType="end"/>
        </w:r>
      </w:hyperlink>
    </w:p>
    <w:p w:rsidR="00B259C9" w:rsidRDefault="00370EA4">
      <w:pPr>
        <w:pStyle w:val="TOC1"/>
        <w:tabs>
          <w:tab w:val="left" w:pos="660"/>
          <w:tab w:val="right" w:leader="dot" w:pos="10790"/>
        </w:tabs>
        <w:rPr>
          <w:rFonts w:asciiTheme="minorHAnsi" w:eastAsiaTheme="minorEastAsia" w:hAnsiTheme="minorHAnsi" w:cstheme="minorBidi"/>
          <w:noProof/>
        </w:rPr>
      </w:pPr>
      <w:hyperlink w:anchor="_Toc393811629" w:history="1">
        <w:r w:rsidR="00B259C9" w:rsidRPr="00376954">
          <w:rPr>
            <w:rStyle w:val="Hyperlink"/>
            <w:noProof/>
          </w:rPr>
          <w:t>III.</w:t>
        </w:r>
        <w:r w:rsidR="00B259C9">
          <w:rPr>
            <w:rFonts w:asciiTheme="minorHAnsi" w:eastAsiaTheme="minorEastAsia" w:hAnsiTheme="minorHAnsi" w:cstheme="minorBidi"/>
            <w:noProof/>
          </w:rPr>
          <w:tab/>
        </w:r>
        <w:r w:rsidR="00B259C9" w:rsidRPr="00376954">
          <w:rPr>
            <w:rStyle w:val="Hyperlink"/>
            <w:noProof/>
          </w:rPr>
          <w:t>Initial Early Disclosure Requirements (Part 1026.6 or 1026.18)</w:t>
        </w:r>
        <w:r w:rsidR="00B259C9">
          <w:rPr>
            <w:noProof/>
            <w:webHidden/>
          </w:rPr>
          <w:tab/>
        </w:r>
        <w:r>
          <w:rPr>
            <w:noProof/>
            <w:webHidden/>
          </w:rPr>
          <w:fldChar w:fldCharType="begin"/>
        </w:r>
        <w:r w:rsidR="00B259C9">
          <w:rPr>
            <w:noProof/>
            <w:webHidden/>
          </w:rPr>
          <w:instrText xml:space="preserve"> PAGEREF _Toc393811629 \h </w:instrText>
        </w:r>
        <w:r>
          <w:rPr>
            <w:noProof/>
            <w:webHidden/>
          </w:rPr>
        </w:r>
        <w:r>
          <w:rPr>
            <w:noProof/>
            <w:webHidden/>
          </w:rPr>
          <w:fldChar w:fldCharType="separate"/>
        </w:r>
        <w:r w:rsidR="001B3F81">
          <w:rPr>
            <w:noProof/>
            <w:webHidden/>
          </w:rPr>
          <w:t>17</w:t>
        </w:r>
        <w:r>
          <w:rPr>
            <w:noProof/>
            <w:webHidden/>
          </w:rPr>
          <w:fldChar w:fldCharType="end"/>
        </w:r>
      </w:hyperlink>
    </w:p>
    <w:p w:rsidR="00B259C9" w:rsidRDefault="00370EA4">
      <w:pPr>
        <w:pStyle w:val="TOC2"/>
        <w:tabs>
          <w:tab w:val="left" w:pos="660"/>
          <w:tab w:val="right" w:leader="dot" w:pos="10790"/>
        </w:tabs>
        <w:rPr>
          <w:rFonts w:asciiTheme="minorHAnsi" w:eastAsiaTheme="minorEastAsia" w:hAnsiTheme="minorHAnsi" w:cstheme="minorBidi"/>
          <w:noProof/>
        </w:rPr>
      </w:pPr>
      <w:hyperlink w:anchor="_Toc393811630" w:history="1">
        <w:r w:rsidR="00B259C9" w:rsidRPr="00376954">
          <w:rPr>
            <w:rStyle w:val="Hyperlink"/>
            <w:noProof/>
          </w:rPr>
          <w:t>A.</w:t>
        </w:r>
        <w:r w:rsidR="00B259C9">
          <w:rPr>
            <w:rFonts w:asciiTheme="minorHAnsi" w:eastAsiaTheme="minorEastAsia" w:hAnsiTheme="minorHAnsi" w:cstheme="minorBidi"/>
            <w:noProof/>
          </w:rPr>
          <w:tab/>
        </w:r>
        <w:r w:rsidR="00B259C9" w:rsidRPr="00376954">
          <w:rPr>
            <w:rStyle w:val="Hyperlink"/>
            <w:noProof/>
          </w:rPr>
          <w:t>Loan Types Covered</w:t>
        </w:r>
        <w:r w:rsidR="00B259C9">
          <w:rPr>
            <w:noProof/>
            <w:webHidden/>
          </w:rPr>
          <w:tab/>
        </w:r>
        <w:r>
          <w:rPr>
            <w:noProof/>
            <w:webHidden/>
          </w:rPr>
          <w:fldChar w:fldCharType="begin"/>
        </w:r>
        <w:r w:rsidR="00B259C9">
          <w:rPr>
            <w:noProof/>
            <w:webHidden/>
          </w:rPr>
          <w:instrText xml:space="preserve"> PAGEREF _Toc393811630 \h </w:instrText>
        </w:r>
        <w:r>
          <w:rPr>
            <w:noProof/>
            <w:webHidden/>
          </w:rPr>
        </w:r>
        <w:r>
          <w:rPr>
            <w:noProof/>
            <w:webHidden/>
          </w:rPr>
          <w:fldChar w:fldCharType="separate"/>
        </w:r>
        <w:r w:rsidR="001B3F81">
          <w:rPr>
            <w:noProof/>
            <w:webHidden/>
          </w:rPr>
          <w:t>17</w:t>
        </w:r>
        <w:r>
          <w:rPr>
            <w:noProof/>
            <w:webHidden/>
          </w:rPr>
          <w:fldChar w:fldCharType="end"/>
        </w:r>
      </w:hyperlink>
    </w:p>
    <w:p w:rsidR="00B259C9" w:rsidRDefault="00370EA4">
      <w:pPr>
        <w:pStyle w:val="TOC2"/>
        <w:tabs>
          <w:tab w:val="left" w:pos="660"/>
          <w:tab w:val="right" w:leader="dot" w:pos="10790"/>
        </w:tabs>
        <w:rPr>
          <w:rFonts w:asciiTheme="minorHAnsi" w:eastAsiaTheme="minorEastAsia" w:hAnsiTheme="minorHAnsi" w:cstheme="minorBidi"/>
          <w:noProof/>
        </w:rPr>
      </w:pPr>
      <w:hyperlink w:anchor="_Toc393811631" w:history="1">
        <w:r w:rsidR="00B259C9" w:rsidRPr="00376954">
          <w:rPr>
            <w:rStyle w:val="Hyperlink"/>
            <w:noProof/>
          </w:rPr>
          <w:t>B.</w:t>
        </w:r>
        <w:r w:rsidR="00B259C9">
          <w:rPr>
            <w:rFonts w:asciiTheme="minorHAnsi" w:eastAsiaTheme="minorEastAsia" w:hAnsiTheme="minorHAnsi" w:cstheme="minorBidi"/>
            <w:noProof/>
          </w:rPr>
          <w:tab/>
        </w:r>
        <w:r w:rsidR="00B259C9" w:rsidRPr="00376954">
          <w:rPr>
            <w:rStyle w:val="Hyperlink"/>
            <w:noProof/>
          </w:rPr>
          <w:t>Early Disclosure and Waiting Period</w:t>
        </w:r>
        <w:r w:rsidR="00B259C9">
          <w:rPr>
            <w:noProof/>
            <w:webHidden/>
          </w:rPr>
          <w:tab/>
        </w:r>
        <w:r>
          <w:rPr>
            <w:noProof/>
            <w:webHidden/>
          </w:rPr>
          <w:fldChar w:fldCharType="begin"/>
        </w:r>
        <w:r w:rsidR="00B259C9">
          <w:rPr>
            <w:noProof/>
            <w:webHidden/>
          </w:rPr>
          <w:instrText xml:space="preserve"> PAGEREF _Toc393811631 \h </w:instrText>
        </w:r>
        <w:r>
          <w:rPr>
            <w:noProof/>
            <w:webHidden/>
          </w:rPr>
        </w:r>
        <w:r>
          <w:rPr>
            <w:noProof/>
            <w:webHidden/>
          </w:rPr>
          <w:fldChar w:fldCharType="separate"/>
        </w:r>
        <w:r w:rsidR="001B3F81">
          <w:rPr>
            <w:noProof/>
            <w:webHidden/>
          </w:rPr>
          <w:t>18</w:t>
        </w:r>
        <w:r>
          <w:rPr>
            <w:noProof/>
            <w:webHidden/>
          </w:rPr>
          <w:fldChar w:fldCharType="end"/>
        </w:r>
      </w:hyperlink>
    </w:p>
    <w:p w:rsidR="00B259C9" w:rsidRDefault="00370EA4">
      <w:pPr>
        <w:pStyle w:val="TOC2"/>
        <w:tabs>
          <w:tab w:val="left" w:pos="660"/>
          <w:tab w:val="right" w:leader="dot" w:pos="10790"/>
        </w:tabs>
        <w:rPr>
          <w:rFonts w:asciiTheme="minorHAnsi" w:eastAsiaTheme="minorEastAsia" w:hAnsiTheme="minorHAnsi" w:cstheme="minorBidi"/>
          <w:noProof/>
        </w:rPr>
      </w:pPr>
      <w:hyperlink w:anchor="_Toc393811632" w:history="1">
        <w:r w:rsidR="00B259C9" w:rsidRPr="00376954">
          <w:rPr>
            <w:rStyle w:val="Hyperlink"/>
            <w:noProof/>
          </w:rPr>
          <w:t>C.</w:t>
        </w:r>
        <w:r w:rsidR="00B259C9">
          <w:rPr>
            <w:rFonts w:asciiTheme="minorHAnsi" w:eastAsiaTheme="minorEastAsia" w:hAnsiTheme="minorHAnsi" w:cstheme="minorBidi"/>
            <w:noProof/>
          </w:rPr>
          <w:tab/>
        </w:r>
        <w:r w:rsidR="00B259C9" w:rsidRPr="00376954">
          <w:rPr>
            <w:rStyle w:val="Hyperlink"/>
            <w:noProof/>
          </w:rPr>
          <w:t>General Disclosure Requirements for Closed-End Credit (§ 1026. 17)</w:t>
        </w:r>
        <w:r w:rsidR="00B259C9">
          <w:rPr>
            <w:noProof/>
            <w:webHidden/>
          </w:rPr>
          <w:tab/>
        </w:r>
        <w:r>
          <w:rPr>
            <w:noProof/>
            <w:webHidden/>
          </w:rPr>
          <w:fldChar w:fldCharType="begin"/>
        </w:r>
        <w:r w:rsidR="00B259C9">
          <w:rPr>
            <w:noProof/>
            <w:webHidden/>
          </w:rPr>
          <w:instrText xml:space="preserve"> PAGEREF _Toc393811632 \h </w:instrText>
        </w:r>
        <w:r>
          <w:rPr>
            <w:noProof/>
            <w:webHidden/>
          </w:rPr>
        </w:r>
        <w:r>
          <w:rPr>
            <w:noProof/>
            <w:webHidden/>
          </w:rPr>
          <w:fldChar w:fldCharType="separate"/>
        </w:r>
        <w:r w:rsidR="001B3F81">
          <w:rPr>
            <w:noProof/>
            <w:webHidden/>
          </w:rPr>
          <w:t>20</w:t>
        </w:r>
        <w:r>
          <w:rPr>
            <w:noProof/>
            <w:webHidden/>
          </w:rPr>
          <w:fldChar w:fldCharType="end"/>
        </w:r>
      </w:hyperlink>
    </w:p>
    <w:p w:rsidR="00B259C9" w:rsidRDefault="00370EA4">
      <w:pPr>
        <w:pStyle w:val="TOC2"/>
        <w:tabs>
          <w:tab w:val="left" w:pos="660"/>
          <w:tab w:val="right" w:leader="dot" w:pos="10790"/>
        </w:tabs>
        <w:rPr>
          <w:rFonts w:asciiTheme="minorHAnsi" w:eastAsiaTheme="minorEastAsia" w:hAnsiTheme="minorHAnsi" w:cstheme="minorBidi"/>
          <w:noProof/>
        </w:rPr>
      </w:pPr>
      <w:hyperlink w:anchor="_Toc393811633" w:history="1">
        <w:r w:rsidR="00B259C9" w:rsidRPr="00376954">
          <w:rPr>
            <w:rStyle w:val="Hyperlink"/>
            <w:noProof/>
          </w:rPr>
          <w:t>D.</w:t>
        </w:r>
        <w:r w:rsidR="00B259C9">
          <w:rPr>
            <w:rFonts w:asciiTheme="minorHAnsi" w:eastAsiaTheme="minorEastAsia" w:hAnsiTheme="minorHAnsi" w:cstheme="minorBidi"/>
            <w:noProof/>
          </w:rPr>
          <w:tab/>
        </w:r>
        <w:r w:rsidR="00B259C9" w:rsidRPr="00376954">
          <w:rPr>
            <w:rStyle w:val="Hyperlink"/>
            <w:noProof/>
          </w:rPr>
          <w:t>Specific Initial Disclosure Requirements</w:t>
        </w:r>
        <w:r w:rsidR="00B259C9">
          <w:rPr>
            <w:noProof/>
            <w:webHidden/>
          </w:rPr>
          <w:tab/>
        </w:r>
        <w:r>
          <w:rPr>
            <w:noProof/>
            <w:webHidden/>
          </w:rPr>
          <w:fldChar w:fldCharType="begin"/>
        </w:r>
        <w:r w:rsidR="00B259C9">
          <w:rPr>
            <w:noProof/>
            <w:webHidden/>
          </w:rPr>
          <w:instrText xml:space="preserve"> PAGEREF _Toc393811633 \h </w:instrText>
        </w:r>
        <w:r>
          <w:rPr>
            <w:noProof/>
            <w:webHidden/>
          </w:rPr>
        </w:r>
        <w:r>
          <w:rPr>
            <w:noProof/>
            <w:webHidden/>
          </w:rPr>
          <w:fldChar w:fldCharType="separate"/>
        </w:r>
        <w:r w:rsidR="001B3F81">
          <w:rPr>
            <w:noProof/>
            <w:webHidden/>
          </w:rPr>
          <w:t>21</w:t>
        </w:r>
        <w:r>
          <w:rPr>
            <w:noProof/>
            <w:webHidden/>
          </w:rPr>
          <w:fldChar w:fldCharType="end"/>
        </w:r>
      </w:hyperlink>
    </w:p>
    <w:p w:rsidR="00B259C9" w:rsidRDefault="00370EA4">
      <w:pPr>
        <w:pStyle w:val="TOC2"/>
        <w:tabs>
          <w:tab w:val="left" w:pos="660"/>
          <w:tab w:val="right" w:leader="dot" w:pos="10790"/>
        </w:tabs>
        <w:rPr>
          <w:rFonts w:asciiTheme="minorHAnsi" w:eastAsiaTheme="minorEastAsia" w:hAnsiTheme="minorHAnsi" w:cstheme="minorBidi"/>
          <w:noProof/>
        </w:rPr>
      </w:pPr>
      <w:hyperlink w:anchor="_Toc393811634" w:history="1">
        <w:r w:rsidR="00B259C9" w:rsidRPr="00376954">
          <w:rPr>
            <w:rStyle w:val="Hyperlink"/>
            <w:noProof/>
          </w:rPr>
          <w:t>E.</w:t>
        </w:r>
        <w:r w:rsidR="00B259C9">
          <w:rPr>
            <w:rFonts w:asciiTheme="minorHAnsi" w:eastAsiaTheme="minorEastAsia" w:hAnsiTheme="minorHAnsi" w:cstheme="minorBidi"/>
            <w:noProof/>
          </w:rPr>
          <w:tab/>
        </w:r>
        <w:r w:rsidR="00B259C9" w:rsidRPr="00376954">
          <w:rPr>
            <w:rStyle w:val="Hyperlink"/>
            <w:noProof/>
          </w:rPr>
          <w:t>Right to Rescission for Open-End Credits (Subpart B 1026.15)</w:t>
        </w:r>
        <w:r w:rsidR="00B259C9">
          <w:rPr>
            <w:noProof/>
            <w:webHidden/>
          </w:rPr>
          <w:tab/>
        </w:r>
        <w:r>
          <w:rPr>
            <w:noProof/>
            <w:webHidden/>
          </w:rPr>
          <w:fldChar w:fldCharType="begin"/>
        </w:r>
        <w:r w:rsidR="00B259C9">
          <w:rPr>
            <w:noProof/>
            <w:webHidden/>
          </w:rPr>
          <w:instrText xml:space="preserve"> PAGEREF _Toc393811634 \h </w:instrText>
        </w:r>
        <w:r>
          <w:rPr>
            <w:noProof/>
            <w:webHidden/>
          </w:rPr>
        </w:r>
        <w:r>
          <w:rPr>
            <w:noProof/>
            <w:webHidden/>
          </w:rPr>
          <w:fldChar w:fldCharType="separate"/>
        </w:r>
        <w:r w:rsidR="001B3F81">
          <w:rPr>
            <w:noProof/>
            <w:webHidden/>
          </w:rPr>
          <w:t>22</w:t>
        </w:r>
        <w:r>
          <w:rPr>
            <w:noProof/>
            <w:webHidden/>
          </w:rPr>
          <w:fldChar w:fldCharType="end"/>
        </w:r>
      </w:hyperlink>
    </w:p>
    <w:p w:rsidR="00B259C9" w:rsidRDefault="00370EA4">
      <w:pPr>
        <w:pStyle w:val="TOC1"/>
        <w:tabs>
          <w:tab w:val="left" w:pos="660"/>
          <w:tab w:val="right" w:leader="dot" w:pos="10790"/>
        </w:tabs>
        <w:rPr>
          <w:rFonts w:asciiTheme="minorHAnsi" w:eastAsiaTheme="minorEastAsia" w:hAnsiTheme="minorHAnsi" w:cstheme="minorBidi"/>
          <w:noProof/>
        </w:rPr>
      </w:pPr>
      <w:hyperlink w:anchor="_Toc393811635" w:history="1">
        <w:r w:rsidR="00B259C9" w:rsidRPr="00376954">
          <w:rPr>
            <w:rStyle w:val="Hyperlink"/>
            <w:noProof/>
          </w:rPr>
          <w:t>IV.</w:t>
        </w:r>
        <w:r w:rsidR="00B259C9">
          <w:rPr>
            <w:rFonts w:asciiTheme="minorHAnsi" w:eastAsiaTheme="minorEastAsia" w:hAnsiTheme="minorHAnsi" w:cstheme="minorBidi"/>
            <w:noProof/>
          </w:rPr>
          <w:tab/>
        </w:r>
        <w:r w:rsidR="00B259C9" w:rsidRPr="00376954">
          <w:rPr>
            <w:rStyle w:val="Hyperlink"/>
            <w:noProof/>
          </w:rPr>
          <w:t>The TILA Disclosure Statement</w:t>
        </w:r>
        <w:r w:rsidR="00B259C9">
          <w:rPr>
            <w:noProof/>
            <w:webHidden/>
          </w:rPr>
          <w:tab/>
        </w:r>
        <w:r>
          <w:rPr>
            <w:noProof/>
            <w:webHidden/>
          </w:rPr>
          <w:fldChar w:fldCharType="begin"/>
        </w:r>
        <w:r w:rsidR="00B259C9">
          <w:rPr>
            <w:noProof/>
            <w:webHidden/>
          </w:rPr>
          <w:instrText xml:space="preserve"> PAGEREF _Toc393811635 \h </w:instrText>
        </w:r>
        <w:r>
          <w:rPr>
            <w:noProof/>
            <w:webHidden/>
          </w:rPr>
        </w:r>
        <w:r>
          <w:rPr>
            <w:noProof/>
            <w:webHidden/>
          </w:rPr>
          <w:fldChar w:fldCharType="separate"/>
        </w:r>
        <w:r w:rsidR="001B3F81">
          <w:rPr>
            <w:noProof/>
            <w:webHidden/>
          </w:rPr>
          <w:t>25</w:t>
        </w:r>
        <w:r>
          <w:rPr>
            <w:noProof/>
            <w:webHidden/>
          </w:rPr>
          <w:fldChar w:fldCharType="end"/>
        </w:r>
      </w:hyperlink>
    </w:p>
    <w:p w:rsidR="00B259C9" w:rsidRDefault="00370EA4">
      <w:pPr>
        <w:pStyle w:val="TOC2"/>
        <w:tabs>
          <w:tab w:val="left" w:pos="660"/>
          <w:tab w:val="right" w:leader="dot" w:pos="10790"/>
        </w:tabs>
        <w:rPr>
          <w:rFonts w:asciiTheme="minorHAnsi" w:eastAsiaTheme="minorEastAsia" w:hAnsiTheme="minorHAnsi" w:cstheme="minorBidi"/>
          <w:noProof/>
        </w:rPr>
      </w:pPr>
      <w:hyperlink w:anchor="_Toc393811636" w:history="1">
        <w:r w:rsidR="00B259C9" w:rsidRPr="00376954">
          <w:rPr>
            <w:rStyle w:val="Hyperlink"/>
            <w:noProof/>
          </w:rPr>
          <w:t>A.</w:t>
        </w:r>
        <w:r w:rsidR="00B259C9">
          <w:rPr>
            <w:rFonts w:asciiTheme="minorHAnsi" w:eastAsiaTheme="minorEastAsia" w:hAnsiTheme="minorHAnsi" w:cstheme="minorBidi"/>
            <w:noProof/>
          </w:rPr>
          <w:tab/>
        </w:r>
        <w:r w:rsidR="00B259C9" w:rsidRPr="00376954">
          <w:rPr>
            <w:rStyle w:val="Hyperlink"/>
            <w:noProof/>
          </w:rPr>
          <w:t>Overview</w:t>
        </w:r>
        <w:r w:rsidR="00B259C9">
          <w:rPr>
            <w:noProof/>
            <w:webHidden/>
          </w:rPr>
          <w:tab/>
        </w:r>
        <w:r>
          <w:rPr>
            <w:noProof/>
            <w:webHidden/>
          </w:rPr>
          <w:fldChar w:fldCharType="begin"/>
        </w:r>
        <w:r w:rsidR="00B259C9">
          <w:rPr>
            <w:noProof/>
            <w:webHidden/>
          </w:rPr>
          <w:instrText xml:space="preserve"> PAGEREF _Toc393811636 \h </w:instrText>
        </w:r>
        <w:r>
          <w:rPr>
            <w:noProof/>
            <w:webHidden/>
          </w:rPr>
        </w:r>
        <w:r>
          <w:rPr>
            <w:noProof/>
            <w:webHidden/>
          </w:rPr>
          <w:fldChar w:fldCharType="separate"/>
        </w:r>
        <w:r w:rsidR="001B3F81">
          <w:rPr>
            <w:noProof/>
            <w:webHidden/>
          </w:rPr>
          <w:t>25</w:t>
        </w:r>
        <w:r>
          <w:rPr>
            <w:noProof/>
            <w:webHidden/>
          </w:rPr>
          <w:fldChar w:fldCharType="end"/>
        </w:r>
      </w:hyperlink>
    </w:p>
    <w:p w:rsidR="00B259C9" w:rsidRDefault="00370EA4">
      <w:pPr>
        <w:pStyle w:val="TOC2"/>
        <w:tabs>
          <w:tab w:val="left" w:pos="660"/>
          <w:tab w:val="right" w:leader="dot" w:pos="10790"/>
        </w:tabs>
        <w:rPr>
          <w:rFonts w:asciiTheme="minorHAnsi" w:eastAsiaTheme="minorEastAsia" w:hAnsiTheme="minorHAnsi" w:cstheme="minorBidi"/>
          <w:noProof/>
        </w:rPr>
      </w:pPr>
      <w:hyperlink w:anchor="_Toc393811637" w:history="1">
        <w:r w:rsidR="00B259C9" w:rsidRPr="00376954">
          <w:rPr>
            <w:rStyle w:val="Hyperlink"/>
            <w:noProof/>
          </w:rPr>
          <w:t>B.</w:t>
        </w:r>
        <w:r w:rsidR="00B259C9">
          <w:rPr>
            <w:rFonts w:asciiTheme="minorHAnsi" w:eastAsiaTheme="minorEastAsia" w:hAnsiTheme="minorHAnsi" w:cstheme="minorBidi"/>
            <w:noProof/>
          </w:rPr>
          <w:tab/>
        </w:r>
        <w:r w:rsidR="00B259C9" w:rsidRPr="00376954">
          <w:rPr>
            <w:rStyle w:val="Hyperlink"/>
            <w:noProof/>
          </w:rPr>
          <w:t>Requirements of Periodic Statements (Part 1026.7)</w:t>
        </w:r>
        <w:r w:rsidR="00B259C9">
          <w:rPr>
            <w:noProof/>
            <w:webHidden/>
          </w:rPr>
          <w:tab/>
        </w:r>
        <w:r>
          <w:rPr>
            <w:noProof/>
            <w:webHidden/>
          </w:rPr>
          <w:fldChar w:fldCharType="begin"/>
        </w:r>
        <w:r w:rsidR="00B259C9">
          <w:rPr>
            <w:noProof/>
            <w:webHidden/>
          </w:rPr>
          <w:instrText xml:space="preserve"> PAGEREF _Toc393811637 \h </w:instrText>
        </w:r>
        <w:r>
          <w:rPr>
            <w:noProof/>
            <w:webHidden/>
          </w:rPr>
        </w:r>
        <w:r>
          <w:rPr>
            <w:noProof/>
            <w:webHidden/>
          </w:rPr>
          <w:fldChar w:fldCharType="separate"/>
        </w:r>
        <w:r w:rsidR="001B3F81">
          <w:rPr>
            <w:noProof/>
            <w:webHidden/>
          </w:rPr>
          <w:t>27</w:t>
        </w:r>
        <w:r>
          <w:rPr>
            <w:noProof/>
            <w:webHidden/>
          </w:rPr>
          <w:fldChar w:fldCharType="end"/>
        </w:r>
      </w:hyperlink>
    </w:p>
    <w:p w:rsidR="00B259C9" w:rsidRDefault="00370EA4">
      <w:pPr>
        <w:pStyle w:val="TOC1"/>
        <w:tabs>
          <w:tab w:val="left" w:pos="440"/>
          <w:tab w:val="right" w:leader="dot" w:pos="10790"/>
        </w:tabs>
        <w:rPr>
          <w:rFonts w:asciiTheme="minorHAnsi" w:eastAsiaTheme="minorEastAsia" w:hAnsiTheme="minorHAnsi" w:cstheme="minorBidi"/>
          <w:noProof/>
        </w:rPr>
      </w:pPr>
      <w:hyperlink w:anchor="_Toc393811638" w:history="1">
        <w:r w:rsidR="00B259C9" w:rsidRPr="00376954">
          <w:rPr>
            <w:rStyle w:val="Hyperlink"/>
            <w:noProof/>
          </w:rPr>
          <w:t>V.</w:t>
        </w:r>
        <w:r w:rsidR="00B259C9">
          <w:rPr>
            <w:rFonts w:asciiTheme="minorHAnsi" w:eastAsiaTheme="minorEastAsia" w:hAnsiTheme="minorHAnsi" w:cstheme="minorBidi"/>
            <w:noProof/>
          </w:rPr>
          <w:tab/>
        </w:r>
        <w:r w:rsidR="00B259C9" w:rsidRPr="00376954">
          <w:rPr>
            <w:rStyle w:val="Hyperlink"/>
            <w:noProof/>
          </w:rPr>
          <w:t>Advertising Regulation (Subpart B 1026.16 and Subpart C 1026.24 for Open- and Closed-End Credit)</w:t>
        </w:r>
        <w:r w:rsidR="00B259C9">
          <w:rPr>
            <w:noProof/>
            <w:webHidden/>
          </w:rPr>
          <w:tab/>
        </w:r>
        <w:r w:rsidR="000E08F9">
          <w:rPr>
            <w:noProof/>
            <w:webHidden/>
          </w:rPr>
          <w:t>31</w:t>
        </w:r>
      </w:hyperlink>
    </w:p>
    <w:p w:rsidR="00B259C9" w:rsidRDefault="00370EA4">
      <w:pPr>
        <w:pStyle w:val="TOC2"/>
        <w:tabs>
          <w:tab w:val="left" w:pos="660"/>
          <w:tab w:val="right" w:leader="dot" w:pos="10790"/>
        </w:tabs>
        <w:rPr>
          <w:rFonts w:asciiTheme="minorHAnsi" w:eastAsiaTheme="minorEastAsia" w:hAnsiTheme="minorHAnsi" w:cstheme="minorBidi"/>
          <w:noProof/>
        </w:rPr>
      </w:pPr>
      <w:hyperlink w:anchor="_Toc393811639" w:history="1">
        <w:r w:rsidR="00B259C9" w:rsidRPr="00376954">
          <w:rPr>
            <w:rStyle w:val="Hyperlink"/>
            <w:noProof/>
          </w:rPr>
          <w:t>A.</w:t>
        </w:r>
        <w:r w:rsidR="00B259C9">
          <w:rPr>
            <w:rFonts w:asciiTheme="minorHAnsi" w:eastAsiaTheme="minorEastAsia" w:hAnsiTheme="minorHAnsi" w:cstheme="minorBidi"/>
            <w:noProof/>
          </w:rPr>
          <w:tab/>
        </w:r>
        <w:r w:rsidR="00B259C9" w:rsidRPr="00376954">
          <w:rPr>
            <w:rStyle w:val="Hyperlink"/>
            <w:noProof/>
          </w:rPr>
          <w:t>Full Disclosure of Mortgage Terms</w:t>
        </w:r>
        <w:r w:rsidR="00B259C9">
          <w:rPr>
            <w:noProof/>
            <w:webHidden/>
          </w:rPr>
          <w:tab/>
        </w:r>
        <w:r>
          <w:rPr>
            <w:noProof/>
            <w:webHidden/>
          </w:rPr>
          <w:fldChar w:fldCharType="begin"/>
        </w:r>
        <w:r w:rsidR="00B259C9">
          <w:rPr>
            <w:noProof/>
            <w:webHidden/>
          </w:rPr>
          <w:instrText xml:space="preserve"> PAGEREF _Toc393811639 \h </w:instrText>
        </w:r>
        <w:r>
          <w:rPr>
            <w:noProof/>
            <w:webHidden/>
          </w:rPr>
        </w:r>
        <w:r>
          <w:rPr>
            <w:noProof/>
            <w:webHidden/>
          </w:rPr>
          <w:fldChar w:fldCharType="separate"/>
        </w:r>
        <w:r w:rsidR="001B3F81">
          <w:rPr>
            <w:noProof/>
            <w:webHidden/>
          </w:rPr>
          <w:t>31</w:t>
        </w:r>
        <w:r>
          <w:rPr>
            <w:noProof/>
            <w:webHidden/>
          </w:rPr>
          <w:fldChar w:fldCharType="end"/>
        </w:r>
      </w:hyperlink>
    </w:p>
    <w:p w:rsidR="00B259C9" w:rsidRDefault="00370EA4">
      <w:pPr>
        <w:pStyle w:val="TOC2"/>
        <w:tabs>
          <w:tab w:val="left" w:pos="660"/>
          <w:tab w:val="right" w:leader="dot" w:pos="10790"/>
        </w:tabs>
        <w:rPr>
          <w:rFonts w:asciiTheme="minorHAnsi" w:eastAsiaTheme="minorEastAsia" w:hAnsiTheme="minorHAnsi" w:cstheme="minorBidi"/>
          <w:noProof/>
        </w:rPr>
      </w:pPr>
      <w:hyperlink w:anchor="_Toc393811640" w:history="1">
        <w:r w:rsidR="00B259C9" w:rsidRPr="00376954">
          <w:rPr>
            <w:rStyle w:val="Hyperlink"/>
            <w:noProof/>
          </w:rPr>
          <w:t>B.</w:t>
        </w:r>
        <w:r w:rsidR="00B259C9">
          <w:rPr>
            <w:rFonts w:asciiTheme="minorHAnsi" w:eastAsiaTheme="minorEastAsia" w:hAnsiTheme="minorHAnsi" w:cstheme="minorBidi"/>
            <w:noProof/>
          </w:rPr>
          <w:tab/>
        </w:r>
        <w:r w:rsidR="00B259C9" w:rsidRPr="00376954">
          <w:rPr>
            <w:rStyle w:val="Hyperlink"/>
            <w:noProof/>
          </w:rPr>
          <w:t>Other Advertising Rules</w:t>
        </w:r>
        <w:r w:rsidR="00B259C9">
          <w:rPr>
            <w:noProof/>
            <w:webHidden/>
          </w:rPr>
          <w:tab/>
        </w:r>
        <w:r>
          <w:rPr>
            <w:noProof/>
            <w:webHidden/>
          </w:rPr>
          <w:fldChar w:fldCharType="begin"/>
        </w:r>
        <w:r w:rsidR="00B259C9">
          <w:rPr>
            <w:noProof/>
            <w:webHidden/>
          </w:rPr>
          <w:instrText xml:space="preserve"> PAGEREF _Toc393811640 \h </w:instrText>
        </w:r>
        <w:r>
          <w:rPr>
            <w:noProof/>
            <w:webHidden/>
          </w:rPr>
        </w:r>
        <w:r>
          <w:rPr>
            <w:noProof/>
            <w:webHidden/>
          </w:rPr>
          <w:fldChar w:fldCharType="separate"/>
        </w:r>
        <w:r w:rsidR="001B3F81">
          <w:rPr>
            <w:noProof/>
            <w:webHidden/>
          </w:rPr>
          <w:t>33</w:t>
        </w:r>
        <w:r>
          <w:rPr>
            <w:noProof/>
            <w:webHidden/>
          </w:rPr>
          <w:fldChar w:fldCharType="end"/>
        </w:r>
      </w:hyperlink>
    </w:p>
    <w:p w:rsidR="00B259C9" w:rsidRDefault="00370EA4">
      <w:pPr>
        <w:pStyle w:val="TOC2"/>
        <w:tabs>
          <w:tab w:val="left" w:pos="660"/>
          <w:tab w:val="right" w:leader="dot" w:pos="10790"/>
        </w:tabs>
        <w:rPr>
          <w:rFonts w:asciiTheme="minorHAnsi" w:eastAsiaTheme="minorEastAsia" w:hAnsiTheme="minorHAnsi" w:cstheme="minorBidi"/>
          <w:noProof/>
        </w:rPr>
      </w:pPr>
      <w:hyperlink w:anchor="_Toc393811641" w:history="1">
        <w:r w:rsidR="00B259C9" w:rsidRPr="00376954">
          <w:rPr>
            <w:rStyle w:val="Hyperlink"/>
            <w:noProof/>
          </w:rPr>
          <w:t>C.</w:t>
        </w:r>
        <w:r w:rsidR="00B259C9">
          <w:rPr>
            <w:rFonts w:asciiTheme="minorHAnsi" w:eastAsiaTheme="minorEastAsia" w:hAnsiTheme="minorHAnsi" w:cstheme="minorBidi"/>
            <w:noProof/>
          </w:rPr>
          <w:tab/>
        </w:r>
        <w:r w:rsidR="00B259C9" w:rsidRPr="00376954">
          <w:rPr>
            <w:rStyle w:val="Hyperlink"/>
            <w:noProof/>
          </w:rPr>
          <w:t>Enforcement (Part 108 of Consumer Protection Act)</w:t>
        </w:r>
        <w:r w:rsidR="00B259C9">
          <w:rPr>
            <w:noProof/>
            <w:webHidden/>
          </w:rPr>
          <w:tab/>
        </w:r>
        <w:r>
          <w:rPr>
            <w:noProof/>
            <w:webHidden/>
          </w:rPr>
          <w:fldChar w:fldCharType="begin"/>
        </w:r>
        <w:r w:rsidR="00B259C9">
          <w:rPr>
            <w:noProof/>
            <w:webHidden/>
          </w:rPr>
          <w:instrText xml:space="preserve"> PAGEREF _Toc393811641 \h </w:instrText>
        </w:r>
        <w:r>
          <w:rPr>
            <w:noProof/>
            <w:webHidden/>
          </w:rPr>
        </w:r>
        <w:r>
          <w:rPr>
            <w:noProof/>
            <w:webHidden/>
          </w:rPr>
          <w:fldChar w:fldCharType="separate"/>
        </w:r>
        <w:r w:rsidR="001B3F81">
          <w:rPr>
            <w:noProof/>
            <w:webHidden/>
          </w:rPr>
          <w:t>34</w:t>
        </w:r>
        <w:r>
          <w:rPr>
            <w:noProof/>
            <w:webHidden/>
          </w:rPr>
          <w:fldChar w:fldCharType="end"/>
        </w:r>
      </w:hyperlink>
    </w:p>
    <w:p w:rsidR="00B259C9" w:rsidRDefault="00370EA4">
      <w:pPr>
        <w:pStyle w:val="TOC1"/>
        <w:tabs>
          <w:tab w:val="left" w:pos="660"/>
          <w:tab w:val="right" w:leader="dot" w:pos="10790"/>
        </w:tabs>
        <w:rPr>
          <w:rFonts w:asciiTheme="minorHAnsi" w:eastAsiaTheme="minorEastAsia" w:hAnsiTheme="minorHAnsi" w:cstheme="minorBidi"/>
          <w:noProof/>
        </w:rPr>
      </w:pPr>
      <w:hyperlink w:anchor="_Toc393811642" w:history="1">
        <w:r w:rsidR="00B259C9" w:rsidRPr="00376954">
          <w:rPr>
            <w:rStyle w:val="Hyperlink"/>
            <w:noProof/>
          </w:rPr>
          <w:t>VI.</w:t>
        </w:r>
        <w:r w:rsidR="00B259C9">
          <w:rPr>
            <w:rFonts w:asciiTheme="minorHAnsi" w:eastAsiaTheme="minorEastAsia" w:hAnsiTheme="minorHAnsi" w:cstheme="minorBidi"/>
            <w:noProof/>
          </w:rPr>
          <w:tab/>
        </w:r>
        <w:r w:rsidR="00B259C9" w:rsidRPr="00376954">
          <w:rPr>
            <w:rStyle w:val="Hyperlink"/>
            <w:noProof/>
          </w:rPr>
          <w:t>Additional Key TILA Rules</w:t>
        </w:r>
        <w:r w:rsidR="00B259C9">
          <w:rPr>
            <w:noProof/>
            <w:webHidden/>
          </w:rPr>
          <w:tab/>
        </w:r>
        <w:r>
          <w:rPr>
            <w:noProof/>
            <w:webHidden/>
          </w:rPr>
          <w:fldChar w:fldCharType="begin"/>
        </w:r>
        <w:r w:rsidR="00B259C9">
          <w:rPr>
            <w:noProof/>
            <w:webHidden/>
          </w:rPr>
          <w:instrText xml:space="preserve"> PAGEREF _Toc393811642 \h </w:instrText>
        </w:r>
        <w:r>
          <w:rPr>
            <w:noProof/>
            <w:webHidden/>
          </w:rPr>
        </w:r>
        <w:r>
          <w:rPr>
            <w:noProof/>
            <w:webHidden/>
          </w:rPr>
          <w:fldChar w:fldCharType="separate"/>
        </w:r>
        <w:r w:rsidR="001B3F81">
          <w:rPr>
            <w:noProof/>
            <w:webHidden/>
          </w:rPr>
          <w:t>35</w:t>
        </w:r>
        <w:r>
          <w:rPr>
            <w:noProof/>
            <w:webHidden/>
          </w:rPr>
          <w:fldChar w:fldCharType="end"/>
        </w:r>
      </w:hyperlink>
    </w:p>
    <w:p w:rsidR="00B259C9" w:rsidRDefault="00370EA4">
      <w:pPr>
        <w:pStyle w:val="TOC2"/>
        <w:tabs>
          <w:tab w:val="left" w:pos="660"/>
          <w:tab w:val="right" w:leader="dot" w:pos="10790"/>
        </w:tabs>
        <w:rPr>
          <w:rFonts w:asciiTheme="minorHAnsi" w:eastAsiaTheme="minorEastAsia" w:hAnsiTheme="minorHAnsi" w:cstheme="minorBidi"/>
          <w:noProof/>
        </w:rPr>
      </w:pPr>
      <w:hyperlink w:anchor="_Toc393811643" w:history="1">
        <w:r w:rsidR="00B259C9" w:rsidRPr="00376954">
          <w:rPr>
            <w:rStyle w:val="Hyperlink"/>
            <w:noProof/>
          </w:rPr>
          <w:t>A.</w:t>
        </w:r>
        <w:r w:rsidR="00B259C9">
          <w:rPr>
            <w:rFonts w:asciiTheme="minorHAnsi" w:eastAsiaTheme="minorEastAsia" w:hAnsiTheme="minorHAnsi" w:cstheme="minorBidi"/>
            <w:noProof/>
          </w:rPr>
          <w:tab/>
        </w:r>
        <w:r w:rsidR="00B259C9" w:rsidRPr="00376954">
          <w:rPr>
            <w:rStyle w:val="Hyperlink"/>
            <w:noProof/>
          </w:rPr>
          <w:t>Ability-to-Repay</w:t>
        </w:r>
        <w:r w:rsidR="00B259C9">
          <w:rPr>
            <w:noProof/>
            <w:webHidden/>
          </w:rPr>
          <w:tab/>
        </w:r>
        <w:r>
          <w:rPr>
            <w:noProof/>
            <w:webHidden/>
          </w:rPr>
          <w:fldChar w:fldCharType="begin"/>
        </w:r>
        <w:r w:rsidR="00B259C9">
          <w:rPr>
            <w:noProof/>
            <w:webHidden/>
          </w:rPr>
          <w:instrText xml:space="preserve"> PAGEREF _Toc393811643 \h </w:instrText>
        </w:r>
        <w:r>
          <w:rPr>
            <w:noProof/>
            <w:webHidden/>
          </w:rPr>
        </w:r>
        <w:r>
          <w:rPr>
            <w:noProof/>
            <w:webHidden/>
          </w:rPr>
          <w:fldChar w:fldCharType="separate"/>
        </w:r>
        <w:r w:rsidR="001B3F81">
          <w:rPr>
            <w:noProof/>
            <w:webHidden/>
          </w:rPr>
          <w:t>35</w:t>
        </w:r>
        <w:r>
          <w:rPr>
            <w:noProof/>
            <w:webHidden/>
          </w:rPr>
          <w:fldChar w:fldCharType="end"/>
        </w:r>
      </w:hyperlink>
    </w:p>
    <w:p w:rsidR="00B259C9" w:rsidRDefault="00370EA4">
      <w:pPr>
        <w:pStyle w:val="TOC2"/>
        <w:tabs>
          <w:tab w:val="left" w:pos="660"/>
          <w:tab w:val="right" w:leader="dot" w:pos="10790"/>
        </w:tabs>
        <w:rPr>
          <w:rFonts w:asciiTheme="minorHAnsi" w:eastAsiaTheme="minorEastAsia" w:hAnsiTheme="minorHAnsi" w:cstheme="minorBidi"/>
          <w:noProof/>
        </w:rPr>
      </w:pPr>
      <w:hyperlink w:anchor="_Toc393811644" w:history="1">
        <w:r w:rsidR="00B259C9" w:rsidRPr="00376954">
          <w:rPr>
            <w:rStyle w:val="Hyperlink"/>
            <w:noProof/>
          </w:rPr>
          <w:t>B.</w:t>
        </w:r>
        <w:r w:rsidR="00B259C9">
          <w:rPr>
            <w:rFonts w:asciiTheme="minorHAnsi" w:eastAsiaTheme="minorEastAsia" w:hAnsiTheme="minorHAnsi" w:cstheme="minorBidi"/>
            <w:noProof/>
          </w:rPr>
          <w:tab/>
        </w:r>
        <w:r w:rsidR="00B259C9" w:rsidRPr="00376954">
          <w:rPr>
            <w:rStyle w:val="Hyperlink"/>
            <w:noProof/>
          </w:rPr>
          <w:t>Loan Originator Compensation and Steering (12 CFR 1026.36(d) and e))</w:t>
        </w:r>
        <w:r w:rsidR="00B259C9">
          <w:rPr>
            <w:noProof/>
            <w:webHidden/>
          </w:rPr>
          <w:tab/>
        </w:r>
        <w:r>
          <w:rPr>
            <w:noProof/>
            <w:webHidden/>
          </w:rPr>
          <w:fldChar w:fldCharType="begin"/>
        </w:r>
        <w:r w:rsidR="00B259C9">
          <w:rPr>
            <w:noProof/>
            <w:webHidden/>
          </w:rPr>
          <w:instrText xml:space="preserve"> PAGEREF _Toc393811644 \h </w:instrText>
        </w:r>
        <w:r>
          <w:rPr>
            <w:noProof/>
            <w:webHidden/>
          </w:rPr>
        </w:r>
        <w:r>
          <w:rPr>
            <w:noProof/>
            <w:webHidden/>
          </w:rPr>
          <w:fldChar w:fldCharType="separate"/>
        </w:r>
        <w:r w:rsidR="001B3F81">
          <w:rPr>
            <w:noProof/>
            <w:webHidden/>
          </w:rPr>
          <w:t>37</w:t>
        </w:r>
        <w:r>
          <w:rPr>
            <w:noProof/>
            <w:webHidden/>
          </w:rPr>
          <w:fldChar w:fldCharType="end"/>
        </w:r>
      </w:hyperlink>
    </w:p>
    <w:p w:rsidR="00B259C9" w:rsidRDefault="00370EA4">
      <w:pPr>
        <w:pStyle w:val="TOC1"/>
        <w:tabs>
          <w:tab w:val="left" w:pos="660"/>
          <w:tab w:val="right" w:leader="dot" w:pos="10790"/>
        </w:tabs>
        <w:rPr>
          <w:rFonts w:asciiTheme="minorHAnsi" w:eastAsiaTheme="minorEastAsia" w:hAnsiTheme="minorHAnsi" w:cstheme="minorBidi"/>
          <w:noProof/>
        </w:rPr>
      </w:pPr>
      <w:hyperlink w:anchor="_Toc393811645" w:history="1">
        <w:r w:rsidR="00B259C9" w:rsidRPr="00376954">
          <w:rPr>
            <w:rStyle w:val="Hyperlink"/>
            <w:noProof/>
          </w:rPr>
          <w:t>VII.</w:t>
        </w:r>
        <w:r w:rsidR="00B259C9">
          <w:rPr>
            <w:rFonts w:asciiTheme="minorHAnsi" w:eastAsiaTheme="minorEastAsia" w:hAnsiTheme="minorHAnsi" w:cstheme="minorBidi"/>
            <w:noProof/>
          </w:rPr>
          <w:tab/>
        </w:r>
        <w:r w:rsidR="00B259C9" w:rsidRPr="00376954">
          <w:rPr>
            <w:rStyle w:val="Hyperlink"/>
            <w:noProof/>
          </w:rPr>
          <w:t>HOEPA and Predatory Lending (Parts 1026.32 and 1026.35)</w:t>
        </w:r>
        <w:r w:rsidR="00B259C9">
          <w:rPr>
            <w:noProof/>
            <w:webHidden/>
          </w:rPr>
          <w:tab/>
        </w:r>
        <w:r>
          <w:rPr>
            <w:noProof/>
            <w:webHidden/>
          </w:rPr>
          <w:fldChar w:fldCharType="begin"/>
        </w:r>
        <w:r w:rsidR="00B259C9">
          <w:rPr>
            <w:noProof/>
            <w:webHidden/>
          </w:rPr>
          <w:instrText xml:space="preserve"> PAGEREF _Toc393811645 \h </w:instrText>
        </w:r>
        <w:r>
          <w:rPr>
            <w:noProof/>
            <w:webHidden/>
          </w:rPr>
        </w:r>
        <w:r>
          <w:rPr>
            <w:noProof/>
            <w:webHidden/>
          </w:rPr>
          <w:fldChar w:fldCharType="separate"/>
        </w:r>
        <w:r w:rsidR="001B3F81">
          <w:rPr>
            <w:noProof/>
            <w:webHidden/>
          </w:rPr>
          <w:t>42</w:t>
        </w:r>
        <w:r>
          <w:rPr>
            <w:noProof/>
            <w:webHidden/>
          </w:rPr>
          <w:fldChar w:fldCharType="end"/>
        </w:r>
      </w:hyperlink>
    </w:p>
    <w:p w:rsidR="00B259C9" w:rsidRDefault="00370EA4">
      <w:pPr>
        <w:pStyle w:val="TOC2"/>
        <w:tabs>
          <w:tab w:val="left" w:pos="660"/>
          <w:tab w:val="right" w:leader="dot" w:pos="10790"/>
        </w:tabs>
        <w:rPr>
          <w:rFonts w:asciiTheme="minorHAnsi" w:eastAsiaTheme="minorEastAsia" w:hAnsiTheme="minorHAnsi" w:cstheme="minorBidi"/>
          <w:noProof/>
        </w:rPr>
      </w:pPr>
      <w:hyperlink w:anchor="_Toc393811646" w:history="1">
        <w:r w:rsidR="008911C3">
          <w:rPr>
            <w:rStyle w:val="Hyperlink"/>
            <w:noProof/>
          </w:rPr>
          <w:t>A</w:t>
        </w:r>
        <w:r w:rsidR="00B259C9" w:rsidRPr="00376954">
          <w:rPr>
            <w:rStyle w:val="Hyperlink"/>
            <w:noProof/>
          </w:rPr>
          <w:t>.</w:t>
        </w:r>
        <w:r w:rsidR="00B259C9">
          <w:rPr>
            <w:rFonts w:asciiTheme="minorHAnsi" w:eastAsiaTheme="minorEastAsia" w:hAnsiTheme="minorHAnsi" w:cstheme="minorBidi"/>
            <w:noProof/>
          </w:rPr>
          <w:tab/>
        </w:r>
        <w:r w:rsidR="00B259C9" w:rsidRPr="00376954">
          <w:rPr>
            <w:rStyle w:val="Hyperlink"/>
            <w:noProof/>
          </w:rPr>
          <w:t>Predatory Lending Background</w:t>
        </w:r>
        <w:r w:rsidR="00B259C9">
          <w:rPr>
            <w:noProof/>
            <w:webHidden/>
          </w:rPr>
          <w:tab/>
        </w:r>
        <w:r>
          <w:rPr>
            <w:noProof/>
            <w:webHidden/>
          </w:rPr>
          <w:fldChar w:fldCharType="begin"/>
        </w:r>
        <w:r w:rsidR="00B259C9">
          <w:rPr>
            <w:noProof/>
            <w:webHidden/>
          </w:rPr>
          <w:instrText xml:space="preserve"> PAGEREF _Toc393811646 \h </w:instrText>
        </w:r>
        <w:r>
          <w:rPr>
            <w:noProof/>
            <w:webHidden/>
          </w:rPr>
        </w:r>
        <w:r>
          <w:rPr>
            <w:noProof/>
            <w:webHidden/>
          </w:rPr>
          <w:fldChar w:fldCharType="separate"/>
        </w:r>
        <w:r w:rsidR="001B3F81">
          <w:rPr>
            <w:noProof/>
            <w:webHidden/>
          </w:rPr>
          <w:t>42</w:t>
        </w:r>
        <w:r>
          <w:rPr>
            <w:noProof/>
            <w:webHidden/>
          </w:rPr>
          <w:fldChar w:fldCharType="end"/>
        </w:r>
      </w:hyperlink>
    </w:p>
    <w:p w:rsidR="00B259C9" w:rsidRDefault="00370EA4">
      <w:pPr>
        <w:pStyle w:val="TOC2"/>
        <w:tabs>
          <w:tab w:val="left" w:pos="660"/>
          <w:tab w:val="right" w:leader="dot" w:pos="10790"/>
        </w:tabs>
        <w:rPr>
          <w:rFonts w:asciiTheme="minorHAnsi" w:eastAsiaTheme="minorEastAsia" w:hAnsiTheme="minorHAnsi" w:cstheme="minorBidi"/>
          <w:noProof/>
        </w:rPr>
      </w:pPr>
      <w:hyperlink w:anchor="_Toc393811647" w:history="1">
        <w:r w:rsidR="008911C3">
          <w:rPr>
            <w:rStyle w:val="Hyperlink"/>
            <w:noProof/>
          </w:rPr>
          <w:t>B</w:t>
        </w:r>
        <w:r w:rsidR="00B259C9" w:rsidRPr="00376954">
          <w:rPr>
            <w:rStyle w:val="Hyperlink"/>
            <w:noProof/>
          </w:rPr>
          <w:t>.</w:t>
        </w:r>
        <w:r w:rsidR="00B259C9">
          <w:rPr>
            <w:rFonts w:asciiTheme="minorHAnsi" w:eastAsiaTheme="minorEastAsia" w:hAnsiTheme="minorHAnsi" w:cstheme="minorBidi"/>
            <w:noProof/>
          </w:rPr>
          <w:tab/>
        </w:r>
        <w:r w:rsidR="00B259C9" w:rsidRPr="00376954">
          <w:rPr>
            <w:rStyle w:val="Hyperlink"/>
            <w:noProof/>
          </w:rPr>
          <w:t>Subprime Lending</w:t>
        </w:r>
        <w:r w:rsidR="00B259C9">
          <w:rPr>
            <w:noProof/>
            <w:webHidden/>
          </w:rPr>
          <w:tab/>
        </w:r>
        <w:r>
          <w:rPr>
            <w:noProof/>
            <w:webHidden/>
          </w:rPr>
          <w:fldChar w:fldCharType="begin"/>
        </w:r>
        <w:r w:rsidR="00B259C9">
          <w:rPr>
            <w:noProof/>
            <w:webHidden/>
          </w:rPr>
          <w:instrText xml:space="preserve"> PAGEREF _Toc393811647 \h </w:instrText>
        </w:r>
        <w:r>
          <w:rPr>
            <w:noProof/>
            <w:webHidden/>
          </w:rPr>
        </w:r>
        <w:r>
          <w:rPr>
            <w:noProof/>
            <w:webHidden/>
          </w:rPr>
          <w:fldChar w:fldCharType="separate"/>
        </w:r>
        <w:r w:rsidR="001B3F81">
          <w:rPr>
            <w:noProof/>
            <w:webHidden/>
          </w:rPr>
          <w:t>43</w:t>
        </w:r>
        <w:r>
          <w:rPr>
            <w:noProof/>
            <w:webHidden/>
          </w:rPr>
          <w:fldChar w:fldCharType="end"/>
        </w:r>
      </w:hyperlink>
    </w:p>
    <w:p w:rsidR="00B259C9" w:rsidRDefault="00370EA4">
      <w:pPr>
        <w:pStyle w:val="TOC2"/>
        <w:tabs>
          <w:tab w:val="left" w:pos="660"/>
          <w:tab w:val="right" w:leader="dot" w:pos="10790"/>
        </w:tabs>
        <w:rPr>
          <w:rFonts w:asciiTheme="minorHAnsi" w:eastAsiaTheme="minorEastAsia" w:hAnsiTheme="minorHAnsi" w:cstheme="minorBidi"/>
          <w:noProof/>
        </w:rPr>
      </w:pPr>
      <w:hyperlink w:anchor="_Toc393811648" w:history="1">
        <w:r w:rsidR="008911C3">
          <w:rPr>
            <w:rStyle w:val="Hyperlink"/>
            <w:noProof/>
          </w:rPr>
          <w:t>C</w:t>
        </w:r>
        <w:r w:rsidR="00B259C9" w:rsidRPr="00376954">
          <w:rPr>
            <w:rStyle w:val="Hyperlink"/>
            <w:noProof/>
          </w:rPr>
          <w:t>.</w:t>
        </w:r>
        <w:r w:rsidR="00B259C9">
          <w:rPr>
            <w:rFonts w:asciiTheme="minorHAnsi" w:eastAsiaTheme="minorEastAsia" w:hAnsiTheme="minorHAnsi" w:cstheme="minorBidi"/>
            <w:noProof/>
          </w:rPr>
          <w:tab/>
        </w:r>
        <w:r w:rsidR="00B259C9" w:rsidRPr="00376954">
          <w:rPr>
            <w:rStyle w:val="Hyperlink"/>
            <w:noProof/>
          </w:rPr>
          <w:t>Examples of Predatory Lending Activities</w:t>
        </w:r>
        <w:r w:rsidR="00B259C9">
          <w:rPr>
            <w:noProof/>
            <w:webHidden/>
          </w:rPr>
          <w:tab/>
        </w:r>
        <w:r>
          <w:rPr>
            <w:noProof/>
            <w:webHidden/>
          </w:rPr>
          <w:fldChar w:fldCharType="begin"/>
        </w:r>
        <w:r w:rsidR="00B259C9">
          <w:rPr>
            <w:noProof/>
            <w:webHidden/>
          </w:rPr>
          <w:instrText xml:space="preserve"> PAGEREF _Toc393811648 \h </w:instrText>
        </w:r>
        <w:r>
          <w:rPr>
            <w:noProof/>
            <w:webHidden/>
          </w:rPr>
        </w:r>
        <w:r>
          <w:rPr>
            <w:noProof/>
            <w:webHidden/>
          </w:rPr>
          <w:fldChar w:fldCharType="separate"/>
        </w:r>
        <w:r w:rsidR="001B3F81">
          <w:rPr>
            <w:noProof/>
            <w:webHidden/>
          </w:rPr>
          <w:t>43</w:t>
        </w:r>
        <w:r>
          <w:rPr>
            <w:noProof/>
            <w:webHidden/>
          </w:rPr>
          <w:fldChar w:fldCharType="end"/>
        </w:r>
      </w:hyperlink>
    </w:p>
    <w:p w:rsidR="00B259C9" w:rsidRDefault="00370EA4">
      <w:pPr>
        <w:pStyle w:val="TOC1"/>
        <w:tabs>
          <w:tab w:val="left" w:pos="660"/>
          <w:tab w:val="right" w:leader="dot" w:pos="10790"/>
        </w:tabs>
        <w:rPr>
          <w:rFonts w:asciiTheme="minorHAnsi" w:eastAsiaTheme="minorEastAsia" w:hAnsiTheme="minorHAnsi" w:cstheme="minorBidi"/>
          <w:noProof/>
        </w:rPr>
      </w:pPr>
      <w:hyperlink w:anchor="_Toc393811649" w:history="1">
        <w:r w:rsidR="00B259C9" w:rsidRPr="00376954">
          <w:rPr>
            <w:rStyle w:val="Hyperlink"/>
            <w:noProof/>
          </w:rPr>
          <w:t>VIII.</w:t>
        </w:r>
        <w:r w:rsidR="00B259C9">
          <w:rPr>
            <w:rFonts w:asciiTheme="minorHAnsi" w:eastAsiaTheme="minorEastAsia" w:hAnsiTheme="minorHAnsi" w:cstheme="minorBidi"/>
            <w:noProof/>
          </w:rPr>
          <w:tab/>
        </w:r>
        <w:r w:rsidR="00B259C9" w:rsidRPr="00376954">
          <w:rPr>
            <w:rStyle w:val="Hyperlink"/>
            <w:noProof/>
          </w:rPr>
          <w:t>HOEPA Regulations for All Mortgages (Section 1026.32)</w:t>
        </w:r>
        <w:r w:rsidR="00B259C9">
          <w:rPr>
            <w:noProof/>
            <w:webHidden/>
          </w:rPr>
          <w:tab/>
        </w:r>
        <w:r>
          <w:rPr>
            <w:noProof/>
            <w:webHidden/>
          </w:rPr>
          <w:fldChar w:fldCharType="begin"/>
        </w:r>
        <w:r w:rsidR="00B259C9">
          <w:rPr>
            <w:noProof/>
            <w:webHidden/>
          </w:rPr>
          <w:instrText xml:space="preserve"> PAGEREF _Toc393811649 \h </w:instrText>
        </w:r>
        <w:r>
          <w:rPr>
            <w:noProof/>
            <w:webHidden/>
          </w:rPr>
        </w:r>
        <w:r>
          <w:rPr>
            <w:noProof/>
            <w:webHidden/>
          </w:rPr>
          <w:fldChar w:fldCharType="separate"/>
        </w:r>
        <w:r w:rsidR="001B3F81">
          <w:rPr>
            <w:noProof/>
            <w:webHidden/>
          </w:rPr>
          <w:t>46</w:t>
        </w:r>
        <w:r>
          <w:rPr>
            <w:noProof/>
            <w:webHidden/>
          </w:rPr>
          <w:fldChar w:fldCharType="end"/>
        </w:r>
      </w:hyperlink>
    </w:p>
    <w:p w:rsidR="00B259C9" w:rsidRDefault="00370EA4">
      <w:pPr>
        <w:pStyle w:val="TOC1"/>
        <w:tabs>
          <w:tab w:val="left" w:pos="660"/>
          <w:tab w:val="right" w:leader="dot" w:pos="10790"/>
        </w:tabs>
        <w:rPr>
          <w:rFonts w:asciiTheme="minorHAnsi" w:eastAsiaTheme="minorEastAsia" w:hAnsiTheme="minorHAnsi" w:cstheme="minorBidi"/>
          <w:noProof/>
        </w:rPr>
      </w:pPr>
      <w:hyperlink w:anchor="_Toc393811650" w:history="1">
        <w:r w:rsidR="00B259C9" w:rsidRPr="00376954">
          <w:rPr>
            <w:rStyle w:val="Hyperlink"/>
            <w:noProof/>
          </w:rPr>
          <w:t>IX.</w:t>
        </w:r>
        <w:r w:rsidR="00B259C9">
          <w:rPr>
            <w:rFonts w:asciiTheme="minorHAnsi" w:eastAsiaTheme="minorEastAsia" w:hAnsiTheme="minorHAnsi" w:cstheme="minorBidi"/>
            <w:noProof/>
          </w:rPr>
          <w:tab/>
        </w:r>
        <w:r w:rsidR="00B259C9" w:rsidRPr="00376954">
          <w:rPr>
            <w:rStyle w:val="Hyperlink"/>
            <w:noProof/>
          </w:rPr>
          <w:t>Higher-Priced Mortgages</w:t>
        </w:r>
        <w:r w:rsidR="00B259C9">
          <w:rPr>
            <w:noProof/>
            <w:webHidden/>
          </w:rPr>
          <w:tab/>
        </w:r>
        <w:r>
          <w:rPr>
            <w:noProof/>
            <w:webHidden/>
          </w:rPr>
          <w:fldChar w:fldCharType="begin"/>
        </w:r>
        <w:r w:rsidR="00B259C9">
          <w:rPr>
            <w:noProof/>
            <w:webHidden/>
          </w:rPr>
          <w:instrText xml:space="preserve"> PAGEREF _Toc393811650 \h </w:instrText>
        </w:r>
        <w:r>
          <w:rPr>
            <w:noProof/>
            <w:webHidden/>
          </w:rPr>
        </w:r>
        <w:r>
          <w:rPr>
            <w:noProof/>
            <w:webHidden/>
          </w:rPr>
          <w:fldChar w:fldCharType="separate"/>
        </w:r>
        <w:r w:rsidR="001B3F81">
          <w:rPr>
            <w:noProof/>
            <w:webHidden/>
          </w:rPr>
          <w:t>48</w:t>
        </w:r>
        <w:r>
          <w:rPr>
            <w:noProof/>
            <w:webHidden/>
          </w:rPr>
          <w:fldChar w:fldCharType="end"/>
        </w:r>
      </w:hyperlink>
    </w:p>
    <w:p w:rsidR="00B259C9" w:rsidRDefault="00370EA4">
      <w:pPr>
        <w:pStyle w:val="TOC2"/>
        <w:tabs>
          <w:tab w:val="left" w:pos="660"/>
          <w:tab w:val="right" w:leader="dot" w:pos="10790"/>
        </w:tabs>
        <w:rPr>
          <w:rFonts w:asciiTheme="minorHAnsi" w:eastAsiaTheme="minorEastAsia" w:hAnsiTheme="minorHAnsi" w:cstheme="minorBidi"/>
          <w:noProof/>
        </w:rPr>
      </w:pPr>
      <w:hyperlink w:anchor="_Toc393811651" w:history="1">
        <w:r w:rsidR="00B259C9" w:rsidRPr="00376954">
          <w:rPr>
            <w:rStyle w:val="Hyperlink"/>
            <w:noProof/>
          </w:rPr>
          <w:t>A.</w:t>
        </w:r>
        <w:r w:rsidR="00B259C9">
          <w:rPr>
            <w:rFonts w:asciiTheme="minorHAnsi" w:eastAsiaTheme="minorEastAsia" w:hAnsiTheme="minorHAnsi" w:cstheme="minorBidi"/>
            <w:noProof/>
          </w:rPr>
          <w:tab/>
        </w:r>
        <w:r w:rsidR="00B259C9" w:rsidRPr="00376954">
          <w:rPr>
            <w:rStyle w:val="Hyperlink"/>
            <w:noProof/>
          </w:rPr>
          <w:t>Background for HOEPA Section 32 and Section 35</w:t>
        </w:r>
        <w:r w:rsidR="00B259C9">
          <w:rPr>
            <w:noProof/>
            <w:webHidden/>
          </w:rPr>
          <w:tab/>
        </w:r>
        <w:r>
          <w:rPr>
            <w:noProof/>
            <w:webHidden/>
          </w:rPr>
          <w:fldChar w:fldCharType="begin"/>
        </w:r>
        <w:r w:rsidR="00B259C9">
          <w:rPr>
            <w:noProof/>
            <w:webHidden/>
          </w:rPr>
          <w:instrText xml:space="preserve"> PAGEREF _Toc393811651 \h </w:instrText>
        </w:r>
        <w:r>
          <w:rPr>
            <w:noProof/>
            <w:webHidden/>
          </w:rPr>
        </w:r>
        <w:r>
          <w:rPr>
            <w:noProof/>
            <w:webHidden/>
          </w:rPr>
          <w:fldChar w:fldCharType="separate"/>
        </w:r>
        <w:r w:rsidR="001B3F81">
          <w:rPr>
            <w:noProof/>
            <w:webHidden/>
          </w:rPr>
          <w:t>48</w:t>
        </w:r>
        <w:r>
          <w:rPr>
            <w:noProof/>
            <w:webHidden/>
          </w:rPr>
          <w:fldChar w:fldCharType="end"/>
        </w:r>
      </w:hyperlink>
    </w:p>
    <w:p w:rsidR="00B259C9" w:rsidRDefault="00370EA4">
      <w:pPr>
        <w:pStyle w:val="TOC2"/>
        <w:tabs>
          <w:tab w:val="left" w:pos="660"/>
          <w:tab w:val="right" w:leader="dot" w:pos="10790"/>
        </w:tabs>
        <w:rPr>
          <w:rFonts w:asciiTheme="minorHAnsi" w:eastAsiaTheme="minorEastAsia" w:hAnsiTheme="minorHAnsi" w:cstheme="minorBidi"/>
          <w:noProof/>
        </w:rPr>
      </w:pPr>
      <w:hyperlink w:anchor="_Toc393811652" w:history="1">
        <w:r w:rsidR="00B259C9" w:rsidRPr="00376954">
          <w:rPr>
            <w:rStyle w:val="Hyperlink"/>
            <w:noProof/>
          </w:rPr>
          <w:t>B.</w:t>
        </w:r>
        <w:r w:rsidR="00B259C9">
          <w:rPr>
            <w:rFonts w:asciiTheme="minorHAnsi" w:eastAsiaTheme="minorEastAsia" w:hAnsiTheme="minorHAnsi" w:cstheme="minorBidi"/>
            <w:noProof/>
          </w:rPr>
          <w:tab/>
        </w:r>
        <w:r w:rsidR="00B259C9" w:rsidRPr="00376954">
          <w:rPr>
            <w:rStyle w:val="Hyperlink"/>
            <w:noProof/>
          </w:rPr>
          <w:t>Higher-Priced Mortgage Loans (in HOEPA Section 35), Loans Covered</w:t>
        </w:r>
        <w:r w:rsidR="00B259C9">
          <w:rPr>
            <w:noProof/>
            <w:webHidden/>
          </w:rPr>
          <w:tab/>
        </w:r>
        <w:r>
          <w:rPr>
            <w:noProof/>
            <w:webHidden/>
          </w:rPr>
          <w:fldChar w:fldCharType="begin"/>
        </w:r>
        <w:r w:rsidR="00B259C9">
          <w:rPr>
            <w:noProof/>
            <w:webHidden/>
          </w:rPr>
          <w:instrText xml:space="preserve"> PAGEREF _Toc393811652 \h </w:instrText>
        </w:r>
        <w:r>
          <w:rPr>
            <w:noProof/>
            <w:webHidden/>
          </w:rPr>
        </w:r>
        <w:r>
          <w:rPr>
            <w:noProof/>
            <w:webHidden/>
          </w:rPr>
          <w:fldChar w:fldCharType="separate"/>
        </w:r>
        <w:r w:rsidR="001B3F81">
          <w:rPr>
            <w:noProof/>
            <w:webHidden/>
          </w:rPr>
          <w:t>49</w:t>
        </w:r>
        <w:r>
          <w:rPr>
            <w:noProof/>
            <w:webHidden/>
          </w:rPr>
          <w:fldChar w:fldCharType="end"/>
        </w:r>
      </w:hyperlink>
    </w:p>
    <w:p w:rsidR="00B259C9" w:rsidRDefault="00370EA4">
      <w:pPr>
        <w:pStyle w:val="TOC2"/>
        <w:tabs>
          <w:tab w:val="left" w:pos="660"/>
          <w:tab w:val="right" w:leader="dot" w:pos="10790"/>
        </w:tabs>
        <w:rPr>
          <w:rFonts w:asciiTheme="minorHAnsi" w:eastAsiaTheme="minorEastAsia" w:hAnsiTheme="minorHAnsi" w:cstheme="minorBidi"/>
          <w:noProof/>
        </w:rPr>
      </w:pPr>
      <w:hyperlink w:anchor="_Toc393811653" w:history="1">
        <w:r w:rsidR="00B259C9" w:rsidRPr="00376954">
          <w:rPr>
            <w:rStyle w:val="Hyperlink"/>
            <w:noProof/>
          </w:rPr>
          <w:t>C.</w:t>
        </w:r>
        <w:r w:rsidR="00B259C9">
          <w:rPr>
            <w:rFonts w:asciiTheme="minorHAnsi" w:eastAsiaTheme="minorEastAsia" w:hAnsiTheme="minorHAnsi" w:cstheme="minorBidi"/>
            <w:noProof/>
          </w:rPr>
          <w:tab/>
        </w:r>
        <w:r w:rsidR="00B259C9" w:rsidRPr="00376954">
          <w:rPr>
            <w:rStyle w:val="Hyperlink"/>
            <w:noProof/>
          </w:rPr>
          <w:t>Regulations</w:t>
        </w:r>
        <w:r w:rsidR="00B259C9">
          <w:rPr>
            <w:noProof/>
            <w:webHidden/>
          </w:rPr>
          <w:tab/>
        </w:r>
        <w:r>
          <w:rPr>
            <w:noProof/>
            <w:webHidden/>
          </w:rPr>
          <w:fldChar w:fldCharType="begin"/>
        </w:r>
        <w:r w:rsidR="00B259C9">
          <w:rPr>
            <w:noProof/>
            <w:webHidden/>
          </w:rPr>
          <w:instrText xml:space="preserve"> PAGEREF _Toc393811653 \h </w:instrText>
        </w:r>
        <w:r>
          <w:rPr>
            <w:noProof/>
            <w:webHidden/>
          </w:rPr>
        </w:r>
        <w:r>
          <w:rPr>
            <w:noProof/>
            <w:webHidden/>
          </w:rPr>
          <w:fldChar w:fldCharType="separate"/>
        </w:r>
        <w:r w:rsidR="001B3F81">
          <w:rPr>
            <w:noProof/>
            <w:webHidden/>
          </w:rPr>
          <w:t>50</w:t>
        </w:r>
        <w:r>
          <w:rPr>
            <w:noProof/>
            <w:webHidden/>
          </w:rPr>
          <w:fldChar w:fldCharType="end"/>
        </w:r>
      </w:hyperlink>
    </w:p>
    <w:p w:rsidR="00B259C9" w:rsidRDefault="00370EA4">
      <w:pPr>
        <w:pStyle w:val="TOC1"/>
        <w:tabs>
          <w:tab w:val="left" w:pos="440"/>
          <w:tab w:val="right" w:leader="dot" w:pos="10790"/>
        </w:tabs>
        <w:rPr>
          <w:rFonts w:asciiTheme="minorHAnsi" w:eastAsiaTheme="minorEastAsia" w:hAnsiTheme="minorHAnsi" w:cstheme="minorBidi"/>
          <w:noProof/>
        </w:rPr>
      </w:pPr>
      <w:hyperlink w:anchor="_Toc393811654" w:history="1">
        <w:r w:rsidR="00B259C9" w:rsidRPr="00376954">
          <w:rPr>
            <w:rStyle w:val="Hyperlink"/>
            <w:noProof/>
          </w:rPr>
          <w:t>X.</w:t>
        </w:r>
        <w:r w:rsidR="00B259C9">
          <w:rPr>
            <w:rFonts w:asciiTheme="minorHAnsi" w:eastAsiaTheme="minorEastAsia" w:hAnsiTheme="minorHAnsi" w:cstheme="minorBidi"/>
            <w:noProof/>
          </w:rPr>
          <w:tab/>
        </w:r>
        <w:r w:rsidR="00B259C9" w:rsidRPr="00376954">
          <w:rPr>
            <w:rStyle w:val="Hyperlink"/>
            <w:noProof/>
          </w:rPr>
          <w:t>High-Cost Mortgages (in HOEPA Section 32)</w:t>
        </w:r>
        <w:r w:rsidR="00B259C9">
          <w:rPr>
            <w:noProof/>
            <w:webHidden/>
          </w:rPr>
          <w:tab/>
        </w:r>
        <w:r>
          <w:rPr>
            <w:noProof/>
            <w:webHidden/>
          </w:rPr>
          <w:fldChar w:fldCharType="begin"/>
        </w:r>
        <w:r w:rsidR="00B259C9">
          <w:rPr>
            <w:noProof/>
            <w:webHidden/>
          </w:rPr>
          <w:instrText xml:space="preserve"> PAGEREF _Toc393811654 \h </w:instrText>
        </w:r>
        <w:r>
          <w:rPr>
            <w:noProof/>
            <w:webHidden/>
          </w:rPr>
        </w:r>
        <w:r>
          <w:rPr>
            <w:noProof/>
            <w:webHidden/>
          </w:rPr>
          <w:fldChar w:fldCharType="separate"/>
        </w:r>
        <w:r w:rsidR="001B3F81">
          <w:rPr>
            <w:noProof/>
            <w:webHidden/>
          </w:rPr>
          <w:t>52</w:t>
        </w:r>
        <w:r>
          <w:rPr>
            <w:noProof/>
            <w:webHidden/>
          </w:rPr>
          <w:fldChar w:fldCharType="end"/>
        </w:r>
      </w:hyperlink>
    </w:p>
    <w:p w:rsidR="00B259C9" w:rsidRDefault="00370EA4">
      <w:pPr>
        <w:pStyle w:val="TOC2"/>
        <w:tabs>
          <w:tab w:val="left" w:pos="660"/>
          <w:tab w:val="right" w:leader="dot" w:pos="10790"/>
        </w:tabs>
        <w:rPr>
          <w:rFonts w:asciiTheme="minorHAnsi" w:eastAsiaTheme="minorEastAsia" w:hAnsiTheme="minorHAnsi" w:cstheme="minorBidi"/>
          <w:noProof/>
        </w:rPr>
      </w:pPr>
      <w:hyperlink w:anchor="_Toc393811655" w:history="1">
        <w:r w:rsidR="00B259C9" w:rsidRPr="00376954">
          <w:rPr>
            <w:rStyle w:val="Hyperlink"/>
            <w:noProof/>
          </w:rPr>
          <w:t>A.</w:t>
        </w:r>
        <w:r w:rsidR="00B259C9">
          <w:rPr>
            <w:rFonts w:asciiTheme="minorHAnsi" w:eastAsiaTheme="minorEastAsia" w:hAnsiTheme="minorHAnsi" w:cstheme="minorBidi"/>
            <w:noProof/>
          </w:rPr>
          <w:tab/>
        </w:r>
        <w:r w:rsidR="00B259C9" w:rsidRPr="00376954">
          <w:rPr>
            <w:rStyle w:val="Hyperlink"/>
            <w:noProof/>
          </w:rPr>
          <w:t>Loan Types Covered</w:t>
        </w:r>
        <w:r w:rsidR="00B259C9">
          <w:rPr>
            <w:noProof/>
            <w:webHidden/>
          </w:rPr>
          <w:tab/>
        </w:r>
        <w:r>
          <w:rPr>
            <w:noProof/>
            <w:webHidden/>
          </w:rPr>
          <w:fldChar w:fldCharType="begin"/>
        </w:r>
        <w:r w:rsidR="00B259C9">
          <w:rPr>
            <w:noProof/>
            <w:webHidden/>
          </w:rPr>
          <w:instrText xml:space="preserve"> PAGEREF _Toc393811655 \h </w:instrText>
        </w:r>
        <w:r>
          <w:rPr>
            <w:noProof/>
            <w:webHidden/>
          </w:rPr>
        </w:r>
        <w:r>
          <w:rPr>
            <w:noProof/>
            <w:webHidden/>
          </w:rPr>
          <w:fldChar w:fldCharType="separate"/>
        </w:r>
        <w:r w:rsidR="001B3F81">
          <w:rPr>
            <w:noProof/>
            <w:webHidden/>
          </w:rPr>
          <w:t>52</w:t>
        </w:r>
        <w:r>
          <w:rPr>
            <w:noProof/>
            <w:webHidden/>
          </w:rPr>
          <w:fldChar w:fldCharType="end"/>
        </w:r>
      </w:hyperlink>
    </w:p>
    <w:p w:rsidR="00B259C9" w:rsidRDefault="00370EA4">
      <w:pPr>
        <w:pStyle w:val="TOC2"/>
        <w:tabs>
          <w:tab w:val="left" w:pos="660"/>
          <w:tab w:val="right" w:leader="dot" w:pos="10790"/>
        </w:tabs>
        <w:rPr>
          <w:rFonts w:asciiTheme="minorHAnsi" w:eastAsiaTheme="minorEastAsia" w:hAnsiTheme="minorHAnsi" w:cstheme="minorBidi"/>
          <w:noProof/>
        </w:rPr>
      </w:pPr>
      <w:hyperlink w:anchor="_Toc393811656" w:history="1">
        <w:r w:rsidR="00B259C9" w:rsidRPr="00376954">
          <w:rPr>
            <w:rStyle w:val="Hyperlink"/>
            <w:noProof/>
          </w:rPr>
          <w:t>B.</w:t>
        </w:r>
        <w:r w:rsidR="00B259C9">
          <w:rPr>
            <w:rFonts w:asciiTheme="minorHAnsi" w:eastAsiaTheme="minorEastAsia" w:hAnsiTheme="minorHAnsi" w:cstheme="minorBidi"/>
            <w:noProof/>
          </w:rPr>
          <w:tab/>
        </w:r>
        <w:r w:rsidR="00B259C9" w:rsidRPr="00376954">
          <w:rPr>
            <w:rStyle w:val="Hyperlink"/>
            <w:noProof/>
          </w:rPr>
          <w:t>Regulations</w:t>
        </w:r>
        <w:r w:rsidR="00B259C9">
          <w:rPr>
            <w:noProof/>
            <w:webHidden/>
          </w:rPr>
          <w:tab/>
        </w:r>
        <w:r>
          <w:rPr>
            <w:noProof/>
            <w:webHidden/>
          </w:rPr>
          <w:fldChar w:fldCharType="begin"/>
        </w:r>
        <w:r w:rsidR="00B259C9">
          <w:rPr>
            <w:noProof/>
            <w:webHidden/>
          </w:rPr>
          <w:instrText xml:space="preserve"> PAGEREF _Toc393811656 \h </w:instrText>
        </w:r>
        <w:r>
          <w:rPr>
            <w:noProof/>
            <w:webHidden/>
          </w:rPr>
        </w:r>
        <w:r>
          <w:rPr>
            <w:noProof/>
            <w:webHidden/>
          </w:rPr>
          <w:fldChar w:fldCharType="separate"/>
        </w:r>
        <w:r w:rsidR="001B3F81">
          <w:rPr>
            <w:noProof/>
            <w:webHidden/>
          </w:rPr>
          <w:t>53</w:t>
        </w:r>
        <w:r>
          <w:rPr>
            <w:noProof/>
            <w:webHidden/>
          </w:rPr>
          <w:fldChar w:fldCharType="end"/>
        </w:r>
      </w:hyperlink>
    </w:p>
    <w:p w:rsidR="00B259C9" w:rsidRDefault="00370EA4">
      <w:pPr>
        <w:pStyle w:val="TOC2"/>
        <w:tabs>
          <w:tab w:val="left" w:pos="660"/>
          <w:tab w:val="right" w:leader="dot" w:pos="10790"/>
        </w:tabs>
        <w:rPr>
          <w:rFonts w:asciiTheme="minorHAnsi" w:eastAsiaTheme="minorEastAsia" w:hAnsiTheme="minorHAnsi" w:cstheme="minorBidi"/>
          <w:noProof/>
        </w:rPr>
      </w:pPr>
      <w:hyperlink w:anchor="_Toc393811657" w:history="1">
        <w:r w:rsidR="00B259C9" w:rsidRPr="00376954">
          <w:rPr>
            <w:rStyle w:val="Hyperlink"/>
            <w:noProof/>
          </w:rPr>
          <w:t>C.</w:t>
        </w:r>
        <w:r w:rsidR="00B259C9">
          <w:rPr>
            <w:rFonts w:asciiTheme="minorHAnsi" w:eastAsiaTheme="minorEastAsia" w:hAnsiTheme="minorHAnsi" w:cstheme="minorBidi"/>
            <w:noProof/>
          </w:rPr>
          <w:tab/>
        </w:r>
        <w:r w:rsidR="00B259C9" w:rsidRPr="00376954">
          <w:rPr>
            <w:rStyle w:val="Hyperlink"/>
            <w:noProof/>
          </w:rPr>
          <w:t>TILA Disclosure for Section 32 Mortgages</w:t>
        </w:r>
        <w:r w:rsidR="00B259C9">
          <w:rPr>
            <w:noProof/>
            <w:webHidden/>
          </w:rPr>
          <w:tab/>
        </w:r>
        <w:r>
          <w:rPr>
            <w:noProof/>
            <w:webHidden/>
          </w:rPr>
          <w:fldChar w:fldCharType="begin"/>
        </w:r>
        <w:r w:rsidR="00B259C9">
          <w:rPr>
            <w:noProof/>
            <w:webHidden/>
          </w:rPr>
          <w:instrText xml:space="preserve"> PAGEREF _Toc393811657 \h </w:instrText>
        </w:r>
        <w:r>
          <w:rPr>
            <w:noProof/>
            <w:webHidden/>
          </w:rPr>
        </w:r>
        <w:r>
          <w:rPr>
            <w:noProof/>
            <w:webHidden/>
          </w:rPr>
          <w:fldChar w:fldCharType="separate"/>
        </w:r>
        <w:r w:rsidR="001B3F81">
          <w:rPr>
            <w:noProof/>
            <w:webHidden/>
          </w:rPr>
          <w:t>54</w:t>
        </w:r>
        <w:r>
          <w:rPr>
            <w:noProof/>
            <w:webHidden/>
          </w:rPr>
          <w:fldChar w:fldCharType="end"/>
        </w:r>
      </w:hyperlink>
    </w:p>
    <w:p w:rsidR="00AF7B92" w:rsidRDefault="00370EA4" w:rsidP="00AF7B92">
      <w:r>
        <w:fldChar w:fldCharType="end"/>
      </w:r>
    </w:p>
    <w:p w:rsidR="00AF7B92" w:rsidRPr="00AF7B92" w:rsidRDefault="00AF7B92" w:rsidP="00AF7B92"/>
    <w:p w:rsidR="00733FA5" w:rsidRPr="00A74AEA" w:rsidRDefault="001103DC" w:rsidP="001103DC">
      <w:pPr>
        <w:autoSpaceDE w:val="0"/>
        <w:autoSpaceDN w:val="0"/>
        <w:adjustRightInd w:val="0"/>
        <w:ind w:left="1080" w:right="1170"/>
        <w:rPr>
          <w:rFonts w:ascii="Humnst777 Lt BT" w:hAnsi="Humnst777 Lt BT"/>
          <w:b/>
          <w:color w:val="365F91" w:themeColor="accent1" w:themeShade="BF"/>
          <w:sz w:val="28"/>
          <w:szCs w:val="28"/>
        </w:rPr>
      </w:pPr>
      <w:r w:rsidRPr="00A74AEA">
        <w:rPr>
          <w:rFonts w:ascii="Humnst777 Lt BT" w:hAnsi="Humnst777 Lt BT"/>
          <w:b/>
          <w:color w:val="365F91" w:themeColor="accent1" w:themeShade="BF"/>
          <w:sz w:val="28"/>
          <w:szCs w:val="28"/>
        </w:rPr>
        <w:t xml:space="preserve">I. </w:t>
      </w:r>
      <w:r w:rsidR="004F71F5">
        <w:rPr>
          <w:rFonts w:ascii="Humnst777 Lt BT" w:hAnsi="Humnst777 Lt BT"/>
          <w:b/>
          <w:color w:val="365F91" w:themeColor="accent1" w:themeShade="BF"/>
          <w:sz w:val="28"/>
          <w:szCs w:val="28"/>
        </w:rPr>
        <w:t>Introduction and TILA Overview</w:t>
      </w:r>
    </w:p>
    <w:p w:rsidR="00733FA5" w:rsidRPr="00733FA5" w:rsidRDefault="00626EFC" w:rsidP="00B8621F">
      <w:pPr>
        <w:pStyle w:val="ListParagraph"/>
        <w:numPr>
          <w:ilvl w:val="0"/>
          <w:numId w:val="1"/>
        </w:numPr>
        <w:autoSpaceDE w:val="0"/>
        <w:autoSpaceDN w:val="0"/>
        <w:adjustRightInd w:val="0"/>
        <w:ind w:right="1170"/>
        <w:rPr>
          <w:sz w:val="24"/>
          <w:szCs w:val="24"/>
        </w:rPr>
      </w:pPr>
      <w:r>
        <w:rPr>
          <w:sz w:val="24"/>
          <w:szCs w:val="24"/>
        </w:rPr>
        <w:t>Introduction to TILA, HOEPA and MDIA</w:t>
      </w:r>
    </w:p>
    <w:p w:rsidR="00733FA5" w:rsidRDefault="00626EFC" w:rsidP="00B8621F">
      <w:pPr>
        <w:pStyle w:val="ListParagraph"/>
        <w:numPr>
          <w:ilvl w:val="0"/>
          <w:numId w:val="1"/>
        </w:numPr>
        <w:autoSpaceDE w:val="0"/>
        <w:autoSpaceDN w:val="0"/>
        <w:adjustRightInd w:val="0"/>
        <w:ind w:right="1170"/>
        <w:rPr>
          <w:sz w:val="24"/>
          <w:szCs w:val="24"/>
        </w:rPr>
      </w:pPr>
      <w:r>
        <w:rPr>
          <w:sz w:val="24"/>
          <w:szCs w:val="24"/>
        </w:rPr>
        <w:t>Truth In Lending Act Overview</w:t>
      </w:r>
    </w:p>
    <w:p w:rsidR="00626EFC" w:rsidRDefault="00626EFC" w:rsidP="00B8621F">
      <w:pPr>
        <w:pStyle w:val="ListParagraph"/>
        <w:numPr>
          <w:ilvl w:val="0"/>
          <w:numId w:val="1"/>
        </w:numPr>
        <w:autoSpaceDE w:val="0"/>
        <w:autoSpaceDN w:val="0"/>
        <w:adjustRightInd w:val="0"/>
        <w:ind w:right="1170"/>
        <w:rPr>
          <w:sz w:val="24"/>
          <w:szCs w:val="24"/>
        </w:rPr>
      </w:pPr>
      <w:r>
        <w:rPr>
          <w:sz w:val="24"/>
          <w:szCs w:val="24"/>
        </w:rPr>
        <w:t>Summary of Purpose of TILA and Reg. Z</w:t>
      </w:r>
    </w:p>
    <w:p w:rsidR="00626EFC" w:rsidRDefault="00626EFC" w:rsidP="00B8621F">
      <w:pPr>
        <w:pStyle w:val="ListParagraph"/>
        <w:numPr>
          <w:ilvl w:val="0"/>
          <w:numId w:val="1"/>
        </w:numPr>
        <w:autoSpaceDE w:val="0"/>
        <w:autoSpaceDN w:val="0"/>
        <w:adjustRightInd w:val="0"/>
        <w:ind w:right="1170"/>
        <w:rPr>
          <w:sz w:val="24"/>
          <w:szCs w:val="24"/>
        </w:rPr>
      </w:pPr>
      <w:r>
        <w:rPr>
          <w:sz w:val="24"/>
          <w:szCs w:val="24"/>
        </w:rPr>
        <w:t>TILA Index</w:t>
      </w:r>
    </w:p>
    <w:p w:rsidR="00733FA5" w:rsidRPr="00A74AEA" w:rsidRDefault="00CA7EA6" w:rsidP="00733FA5">
      <w:pPr>
        <w:autoSpaceDE w:val="0"/>
        <w:autoSpaceDN w:val="0"/>
        <w:adjustRightInd w:val="0"/>
        <w:ind w:left="1080" w:right="1170"/>
        <w:rPr>
          <w:rFonts w:ascii="Humnst777 Lt BT" w:hAnsi="Humnst777 Lt BT"/>
          <w:b/>
          <w:color w:val="365F91" w:themeColor="accent1" w:themeShade="BF"/>
          <w:sz w:val="28"/>
          <w:szCs w:val="28"/>
        </w:rPr>
      </w:pPr>
      <w:r w:rsidRPr="00A74AEA">
        <w:rPr>
          <w:rFonts w:ascii="Humnst777 Lt BT" w:hAnsi="Humnst777 Lt BT"/>
          <w:b/>
          <w:color w:val="365F91" w:themeColor="accent1" w:themeShade="BF"/>
          <w:sz w:val="28"/>
          <w:szCs w:val="28"/>
        </w:rPr>
        <w:t xml:space="preserve">II. </w:t>
      </w:r>
      <w:r w:rsidR="00733FA5" w:rsidRPr="00733FA5">
        <w:rPr>
          <w:rFonts w:ascii="Humnst777 Lt BT" w:hAnsi="Humnst777 Lt BT"/>
          <w:b/>
          <w:color w:val="365F91" w:themeColor="accent1" w:themeShade="BF"/>
          <w:sz w:val="28"/>
          <w:szCs w:val="28"/>
        </w:rPr>
        <w:tab/>
        <w:t>APR and Finance Charge</w:t>
      </w:r>
      <w:r w:rsidR="0070754C">
        <w:rPr>
          <w:rFonts w:ascii="Humnst777 Lt BT" w:hAnsi="Humnst777 Lt BT"/>
          <w:b/>
          <w:color w:val="365F91" w:themeColor="accent1" w:themeShade="BF"/>
          <w:sz w:val="28"/>
          <w:szCs w:val="28"/>
        </w:rPr>
        <w:t xml:space="preserve"> Disclosure</w:t>
      </w:r>
    </w:p>
    <w:p w:rsidR="00733FA5" w:rsidRPr="00733FA5" w:rsidRDefault="0070754C" w:rsidP="005212C7">
      <w:pPr>
        <w:pStyle w:val="ListParagraph"/>
        <w:numPr>
          <w:ilvl w:val="0"/>
          <w:numId w:val="2"/>
        </w:numPr>
        <w:autoSpaceDE w:val="0"/>
        <w:autoSpaceDN w:val="0"/>
        <w:adjustRightInd w:val="0"/>
        <w:ind w:right="1170"/>
        <w:rPr>
          <w:sz w:val="24"/>
          <w:szCs w:val="24"/>
        </w:rPr>
      </w:pPr>
      <w:r>
        <w:rPr>
          <w:sz w:val="24"/>
          <w:szCs w:val="24"/>
        </w:rPr>
        <w:t>Annual Percentage Rate (</w:t>
      </w:r>
      <w:r w:rsidR="00733FA5" w:rsidRPr="00733FA5">
        <w:rPr>
          <w:sz w:val="24"/>
          <w:szCs w:val="24"/>
        </w:rPr>
        <w:t>APR</w:t>
      </w:r>
      <w:r>
        <w:rPr>
          <w:sz w:val="24"/>
          <w:szCs w:val="24"/>
        </w:rPr>
        <w:t xml:space="preserve">) </w:t>
      </w:r>
    </w:p>
    <w:p w:rsidR="00733FA5" w:rsidRPr="00733FA5" w:rsidRDefault="00733FA5" w:rsidP="005212C7">
      <w:pPr>
        <w:pStyle w:val="ListParagraph"/>
        <w:numPr>
          <w:ilvl w:val="0"/>
          <w:numId w:val="2"/>
        </w:numPr>
        <w:autoSpaceDE w:val="0"/>
        <w:autoSpaceDN w:val="0"/>
        <w:adjustRightInd w:val="0"/>
        <w:ind w:right="1170"/>
        <w:rPr>
          <w:sz w:val="24"/>
          <w:szCs w:val="24"/>
        </w:rPr>
      </w:pPr>
      <w:r w:rsidRPr="00733FA5">
        <w:rPr>
          <w:sz w:val="24"/>
          <w:szCs w:val="24"/>
        </w:rPr>
        <w:t>Finance Charges</w:t>
      </w:r>
      <w:r w:rsidR="0070754C">
        <w:rPr>
          <w:sz w:val="24"/>
          <w:szCs w:val="24"/>
        </w:rPr>
        <w:t xml:space="preserve"> </w:t>
      </w:r>
    </w:p>
    <w:p w:rsidR="00733FA5" w:rsidRPr="00733FA5" w:rsidRDefault="00733FA5" w:rsidP="005212C7">
      <w:pPr>
        <w:pStyle w:val="ListParagraph"/>
        <w:numPr>
          <w:ilvl w:val="0"/>
          <w:numId w:val="2"/>
        </w:numPr>
        <w:autoSpaceDE w:val="0"/>
        <w:autoSpaceDN w:val="0"/>
        <w:adjustRightInd w:val="0"/>
        <w:ind w:right="1170"/>
        <w:rPr>
          <w:sz w:val="24"/>
          <w:szCs w:val="24"/>
        </w:rPr>
      </w:pPr>
      <w:r w:rsidRPr="00733FA5">
        <w:rPr>
          <w:sz w:val="24"/>
          <w:szCs w:val="24"/>
        </w:rPr>
        <w:t>Amount Financed and Total Payments</w:t>
      </w:r>
      <w:r w:rsidR="0070754C">
        <w:rPr>
          <w:sz w:val="24"/>
          <w:szCs w:val="24"/>
        </w:rPr>
        <w:t xml:space="preserve"> </w:t>
      </w:r>
    </w:p>
    <w:p w:rsidR="00733FA5" w:rsidRDefault="00733FA5" w:rsidP="005212C7">
      <w:pPr>
        <w:pStyle w:val="ListParagraph"/>
        <w:numPr>
          <w:ilvl w:val="0"/>
          <w:numId w:val="2"/>
        </w:numPr>
        <w:autoSpaceDE w:val="0"/>
        <w:autoSpaceDN w:val="0"/>
        <w:adjustRightInd w:val="0"/>
        <w:ind w:right="1170"/>
        <w:rPr>
          <w:sz w:val="24"/>
          <w:szCs w:val="24"/>
        </w:rPr>
      </w:pPr>
      <w:r w:rsidRPr="00733FA5">
        <w:rPr>
          <w:sz w:val="24"/>
          <w:szCs w:val="24"/>
        </w:rPr>
        <w:t>Accuracy Tolerance for Closed-End Credits</w:t>
      </w:r>
      <w:r w:rsidR="0070754C">
        <w:rPr>
          <w:sz w:val="24"/>
          <w:szCs w:val="24"/>
        </w:rPr>
        <w:t xml:space="preserve"> </w:t>
      </w:r>
    </w:p>
    <w:p w:rsidR="000E1709" w:rsidRDefault="00CA7EA6">
      <w:pPr>
        <w:autoSpaceDE w:val="0"/>
        <w:autoSpaceDN w:val="0"/>
        <w:adjustRightInd w:val="0"/>
        <w:ind w:left="1080" w:right="1170"/>
        <w:rPr>
          <w:rFonts w:ascii="Humnst777 Lt BT" w:hAnsi="Humnst777 Lt BT"/>
          <w:b/>
          <w:color w:val="365F91" w:themeColor="accent1" w:themeShade="BF"/>
          <w:sz w:val="28"/>
          <w:szCs w:val="28"/>
        </w:rPr>
      </w:pPr>
      <w:r w:rsidRPr="00A74AEA">
        <w:rPr>
          <w:rFonts w:ascii="Humnst777 Lt BT" w:hAnsi="Humnst777 Lt BT"/>
          <w:b/>
          <w:color w:val="365F91" w:themeColor="accent1" w:themeShade="BF"/>
          <w:sz w:val="28"/>
          <w:szCs w:val="28"/>
        </w:rPr>
        <w:t xml:space="preserve">III. </w:t>
      </w:r>
      <w:r w:rsidR="000F2F78" w:rsidRPr="000F2F78">
        <w:rPr>
          <w:rFonts w:ascii="Humnst777 Lt BT" w:hAnsi="Humnst777 Lt BT"/>
          <w:b/>
          <w:color w:val="365F91" w:themeColor="accent1" w:themeShade="BF"/>
          <w:sz w:val="28"/>
          <w:szCs w:val="28"/>
        </w:rPr>
        <w:t>Initial Early Disclosure Requirements</w:t>
      </w:r>
      <w:r w:rsidR="0070754C">
        <w:rPr>
          <w:rFonts w:ascii="Humnst777 Lt BT" w:hAnsi="Humnst777 Lt BT"/>
          <w:b/>
          <w:color w:val="365F91" w:themeColor="accent1" w:themeShade="BF"/>
          <w:sz w:val="28"/>
          <w:szCs w:val="28"/>
        </w:rPr>
        <w:t xml:space="preserve"> </w:t>
      </w:r>
    </w:p>
    <w:p w:rsidR="000E1709" w:rsidRDefault="000F2F78">
      <w:pPr>
        <w:autoSpaceDE w:val="0"/>
        <w:autoSpaceDN w:val="0"/>
        <w:adjustRightInd w:val="0"/>
        <w:ind w:left="1080" w:right="1170"/>
        <w:rPr>
          <w:sz w:val="24"/>
          <w:szCs w:val="24"/>
        </w:rPr>
      </w:pPr>
      <w:r w:rsidRPr="000F2F78">
        <w:rPr>
          <w:sz w:val="24"/>
          <w:szCs w:val="24"/>
        </w:rPr>
        <w:t>Loan Types Covered</w:t>
      </w:r>
    </w:p>
    <w:p w:rsidR="0070754C" w:rsidRDefault="0070754C" w:rsidP="005212C7">
      <w:pPr>
        <w:pStyle w:val="ListParagraph"/>
        <w:numPr>
          <w:ilvl w:val="0"/>
          <w:numId w:val="3"/>
        </w:numPr>
        <w:autoSpaceDE w:val="0"/>
        <w:autoSpaceDN w:val="0"/>
        <w:adjustRightInd w:val="0"/>
        <w:ind w:right="1170"/>
        <w:rPr>
          <w:sz w:val="24"/>
          <w:szCs w:val="24"/>
        </w:rPr>
      </w:pPr>
      <w:r>
        <w:rPr>
          <w:sz w:val="24"/>
          <w:szCs w:val="24"/>
        </w:rPr>
        <w:t>Early Disclosure and Waiting Period</w:t>
      </w:r>
    </w:p>
    <w:p w:rsidR="00403861" w:rsidRDefault="0070754C" w:rsidP="005212C7">
      <w:pPr>
        <w:pStyle w:val="ListParagraph"/>
        <w:numPr>
          <w:ilvl w:val="0"/>
          <w:numId w:val="58"/>
        </w:numPr>
        <w:autoSpaceDE w:val="0"/>
        <w:autoSpaceDN w:val="0"/>
        <w:adjustRightInd w:val="0"/>
        <w:ind w:right="1170"/>
        <w:rPr>
          <w:sz w:val="24"/>
          <w:szCs w:val="24"/>
        </w:rPr>
      </w:pPr>
      <w:r>
        <w:rPr>
          <w:sz w:val="24"/>
          <w:szCs w:val="24"/>
        </w:rPr>
        <w:t xml:space="preserve">Business Day Definition </w:t>
      </w:r>
      <w:r w:rsidR="0018700A" w:rsidRPr="0018700A">
        <w:rPr>
          <w:sz w:val="24"/>
          <w:szCs w:val="24"/>
        </w:rPr>
        <w:t>(Part 1026.2(6))</w:t>
      </w:r>
    </w:p>
    <w:p w:rsidR="00403861" w:rsidRDefault="006427B1" w:rsidP="005212C7">
      <w:pPr>
        <w:pStyle w:val="ListParagraph"/>
        <w:numPr>
          <w:ilvl w:val="0"/>
          <w:numId w:val="58"/>
        </w:numPr>
        <w:autoSpaceDE w:val="0"/>
        <w:autoSpaceDN w:val="0"/>
        <w:adjustRightInd w:val="0"/>
        <w:ind w:right="1170"/>
        <w:rPr>
          <w:sz w:val="24"/>
          <w:szCs w:val="24"/>
        </w:rPr>
      </w:pPr>
      <w:r w:rsidRPr="000F2F78">
        <w:rPr>
          <w:sz w:val="24"/>
          <w:szCs w:val="24"/>
        </w:rPr>
        <w:t>3</w:t>
      </w:r>
      <w:r>
        <w:rPr>
          <w:sz w:val="24"/>
          <w:szCs w:val="24"/>
        </w:rPr>
        <w:t>-</w:t>
      </w:r>
      <w:r w:rsidR="000F2F78" w:rsidRPr="000F2F78">
        <w:rPr>
          <w:sz w:val="24"/>
          <w:szCs w:val="24"/>
        </w:rPr>
        <w:t>Business-Day Requirement</w:t>
      </w:r>
    </w:p>
    <w:p w:rsidR="00403861" w:rsidRDefault="0070754C" w:rsidP="005212C7">
      <w:pPr>
        <w:pStyle w:val="ListParagraph"/>
        <w:numPr>
          <w:ilvl w:val="0"/>
          <w:numId w:val="58"/>
        </w:numPr>
        <w:autoSpaceDE w:val="0"/>
        <w:autoSpaceDN w:val="0"/>
        <w:adjustRightInd w:val="0"/>
        <w:ind w:right="1170"/>
        <w:rPr>
          <w:sz w:val="24"/>
          <w:szCs w:val="24"/>
        </w:rPr>
      </w:pPr>
      <w:r>
        <w:rPr>
          <w:sz w:val="24"/>
          <w:szCs w:val="24"/>
        </w:rPr>
        <w:t>Prohibition</w:t>
      </w:r>
      <w:r w:rsidR="003A3575">
        <w:rPr>
          <w:sz w:val="24"/>
          <w:szCs w:val="24"/>
        </w:rPr>
        <w:t>s</w:t>
      </w:r>
      <w:r>
        <w:rPr>
          <w:sz w:val="24"/>
          <w:szCs w:val="24"/>
        </w:rPr>
        <w:t xml:space="preserve"> on Fee Collection before Early Disclosure</w:t>
      </w:r>
    </w:p>
    <w:p w:rsidR="00403861" w:rsidRDefault="006427B1" w:rsidP="005212C7">
      <w:pPr>
        <w:pStyle w:val="ListParagraph"/>
        <w:numPr>
          <w:ilvl w:val="0"/>
          <w:numId w:val="58"/>
        </w:numPr>
        <w:autoSpaceDE w:val="0"/>
        <w:autoSpaceDN w:val="0"/>
        <w:adjustRightInd w:val="0"/>
        <w:ind w:right="1170"/>
        <w:rPr>
          <w:sz w:val="24"/>
          <w:szCs w:val="24"/>
        </w:rPr>
      </w:pPr>
      <w:r w:rsidRPr="000F2F78">
        <w:rPr>
          <w:sz w:val="24"/>
          <w:szCs w:val="24"/>
        </w:rPr>
        <w:t>7</w:t>
      </w:r>
      <w:r>
        <w:rPr>
          <w:sz w:val="24"/>
          <w:szCs w:val="24"/>
        </w:rPr>
        <w:t>-</w:t>
      </w:r>
      <w:r w:rsidR="000F2F78" w:rsidRPr="000F2F78">
        <w:rPr>
          <w:sz w:val="24"/>
          <w:szCs w:val="24"/>
        </w:rPr>
        <w:t>Business-Day Waiting Period</w:t>
      </w:r>
    </w:p>
    <w:p w:rsidR="00403861" w:rsidRDefault="0070754C" w:rsidP="005212C7">
      <w:pPr>
        <w:pStyle w:val="ListParagraph"/>
        <w:numPr>
          <w:ilvl w:val="0"/>
          <w:numId w:val="58"/>
        </w:numPr>
        <w:autoSpaceDE w:val="0"/>
        <w:autoSpaceDN w:val="0"/>
        <w:adjustRightInd w:val="0"/>
        <w:ind w:right="1170"/>
        <w:rPr>
          <w:sz w:val="24"/>
          <w:szCs w:val="24"/>
        </w:rPr>
      </w:pPr>
      <w:r>
        <w:rPr>
          <w:sz w:val="24"/>
          <w:szCs w:val="24"/>
        </w:rPr>
        <w:t>3-Business-Day Waiting Period for Corrections</w:t>
      </w:r>
    </w:p>
    <w:p w:rsidR="00403861" w:rsidRDefault="0070754C" w:rsidP="005212C7">
      <w:pPr>
        <w:pStyle w:val="ListParagraph"/>
        <w:numPr>
          <w:ilvl w:val="0"/>
          <w:numId w:val="58"/>
        </w:numPr>
        <w:autoSpaceDE w:val="0"/>
        <w:autoSpaceDN w:val="0"/>
        <w:adjustRightInd w:val="0"/>
        <w:ind w:right="1170"/>
        <w:rPr>
          <w:sz w:val="24"/>
          <w:szCs w:val="24"/>
        </w:rPr>
      </w:pPr>
      <w:r>
        <w:rPr>
          <w:sz w:val="24"/>
          <w:szCs w:val="24"/>
        </w:rPr>
        <w:t>APR Accuracy Tolerance Level</w:t>
      </w:r>
    </w:p>
    <w:p w:rsidR="000F2F78" w:rsidRPr="000F2F78" w:rsidRDefault="0070754C" w:rsidP="005212C7">
      <w:pPr>
        <w:pStyle w:val="ListParagraph"/>
        <w:numPr>
          <w:ilvl w:val="0"/>
          <w:numId w:val="3"/>
        </w:numPr>
        <w:autoSpaceDE w:val="0"/>
        <w:autoSpaceDN w:val="0"/>
        <w:adjustRightInd w:val="0"/>
        <w:ind w:right="1170"/>
        <w:rPr>
          <w:sz w:val="24"/>
          <w:szCs w:val="24"/>
        </w:rPr>
      </w:pPr>
      <w:r>
        <w:rPr>
          <w:sz w:val="24"/>
          <w:szCs w:val="24"/>
        </w:rPr>
        <w:t>General Disclosure Requirements for Closed-End Credit</w:t>
      </w:r>
      <w:r w:rsidR="0018700A">
        <w:rPr>
          <w:sz w:val="24"/>
          <w:szCs w:val="24"/>
        </w:rPr>
        <w:t xml:space="preserve"> </w:t>
      </w:r>
      <w:r w:rsidR="0018700A" w:rsidRPr="0018700A">
        <w:rPr>
          <w:sz w:val="24"/>
          <w:szCs w:val="24"/>
        </w:rPr>
        <w:t>§ 1026. 17</w:t>
      </w:r>
    </w:p>
    <w:p w:rsidR="000F2F78" w:rsidRDefault="0070754C" w:rsidP="005212C7">
      <w:pPr>
        <w:pStyle w:val="ListParagraph"/>
        <w:numPr>
          <w:ilvl w:val="0"/>
          <w:numId w:val="3"/>
        </w:numPr>
        <w:autoSpaceDE w:val="0"/>
        <w:autoSpaceDN w:val="0"/>
        <w:adjustRightInd w:val="0"/>
        <w:ind w:right="1170"/>
        <w:rPr>
          <w:sz w:val="24"/>
          <w:szCs w:val="24"/>
        </w:rPr>
      </w:pPr>
      <w:r>
        <w:rPr>
          <w:sz w:val="24"/>
          <w:szCs w:val="24"/>
        </w:rPr>
        <w:t>Specific</w:t>
      </w:r>
      <w:r w:rsidRPr="000F2F78">
        <w:rPr>
          <w:sz w:val="24"/>
          <w:szCs w:val="24"/>
        </w:rPr>
        <w:t xml:space="preserve"> </w:t>
      </w:r>
      <w:r w:rsidR="000F2F78" w:rsidRPr="000F2F78">
        <w:rPr>
          <w:sz w:val="24"/>
          <w:szCs w:val="24"/>
        </w:rPr>
        <w:t>Initial Disclosure Requirements</w:t>
      </w:r>
    </w:p>
    <w:p w:rsidR="003F7D1C" w:rsidRDefault="003F7D1C" w:rsidP="005212C7">
      <w:pPr>
        <w:pStyle w:val="ListParagraph"/>
        <w:numPr>
          <w:ilvl w:val="0"/>
          <w:numId w:val="3"/>
        </w:numPr>
        <w:autoSpaceDE w:val="0"/>
        <w:autoSpaceDN w:val="0"/>
        <w:adjustRightInd w:val="0"/>
        <w:ind w:right="1170"/>
        <w:rPr>
          <w:sz w:val="24"/>
          <w:szCs w:val="24"/>
        </w:rPr>
      </w:pPr>
      <w:r>
        <w:rPr>
          <w:sz w:val="24"/>
          <w:szCs w:val="24"/>
        </w:rPr>
        <w:t>Right to Rescission for Open-End Credits</w:t>
      </w:r>
      <w:r w:rsidR="0018700A">
        <w:rPr>
          <w:sz w:val="24"/>
          <w:szCs w:val="24"/>
        </w:rPr>
        <w:t xml:space="preserve"> </w:t>
      </w:r>
      <w:r w:rsidR="0018700A" w:rsidRPr="0018700A">
        <w:rPr>
          <w:sz w:val="24"/>
          <w:szCs w:val="24"/>
        </w:rPr>
        <w:t>(Subpart B 1026.15)</w:t>
      </w:r>
    </w:p>
    <w:p w:rsidR="00403861" w:rsidRDefault="00686965" w:rsidP="005212C7">
      <w:pPr>
        <w:pStyle w:val="ListParagraph"/>
        <w:numPr>
          <w:ilvl w:val="0"/>
          <w:numId w:val="56"/>
        </w:numPr>
        <w:autoSpaceDE w:val="0"/>
        <w:autoSpaceDN w:val="0"/>
        <w:adjustRightInd w:val="0"/>
        <w:ind w:right="1170"/>
        <w:rPr>
          <w:sz w:val="24"/>
          <w:szCs w:val="24"/>
        </w:rPr>
      </w:pPr>
      <w:r w:rsidRPr="003F7D1C">
        <w:rPr>
          <w:sz w:val="24"/>
          <w:szCs w:val="24"/>
        </w:rPr>
        <w:t>Regulation</w:t>
      </w:r>
    </w:p>
    <w:p w:rsidR="00403861" w:rsidRDefault="00686965" w:rsidP="005212C7">
      <w:pPr>
        <w:pStyle w:val="ListParagraph"/>
        <w:numPr>
          <w:ilvl w:val="0"/>
          <w:numId w:val="56"/>
        </w:numPr>
        <w:autoSpaceDE w:val="0"/>
        <w:autoSpaceDN w:val="0"/>
        <w:adjustRightInd w:val="0"/>
        <w:ind w:right="1170"/>
        <w:rPr>
          <w:sz w:val="24"/>
          <w:szCs w:val="24"/>
        </w:rPr>
      </w:pPr>
      <w:r w:rsidRPr="003F7D1C">
        <w:rPr>
          <w:sz w:val="24"/>
          <w:szCs w:val="24"/>
        </w:rPr>
        <w:t>Right to Rescission Form</w:t>
      </w:r>
    </w:p>
    <w:p w:rsidR="000E1709" w:rsidRDefault="000E1709">
      <w:pPr>
        <w:pStyle w:val="ListParagraph"/>
        <w:autoSpaceDE w:val="0"/>
        <w:autoSpaceDN w:val="0"/>
        <w:adjustRightInd w:val="0"/>
        <w:ind w:left="2160" w:right="1170"/>
        <w:rPr>
          <w:sz w:val="24"/>
          <w:szCs w:val="24"/>
        </w:rPr>
      </w:pPr>
    </w:p>
    <w:p w:rsidR="000F2F78" w:rsidRPr="00A74AEA" w:rsidRDefault="00CA7EA6" w:rsidP="00CA7EA6">
      <w:pPr>
        <w:autoSpaceDE w:val="0"/>
        <w:autoSpaceDN w:val="0"/>
        <w:adjustRightInd w:val="0"/>
        <w:ind w:left="1080" w:right="1170"/>
        <w:rPr>
          <w:rFonts w:ascii="Humnst777 Lt BT" w:hAnsi="Humnst777 Lt BT"/>
          <w:b/>
          <w:color w:val="365F91" w:themeColor="accent1" w:themeShade="BF"/>
          <w:sz w:val="28"/>
          <w:szCs w:val="28"/>
        </w:rPr>
      </w:pPr>
      <w:r w:rsidRPr="00A74AEA">
        <w:rPr>
          <w:rFonts w:ascii="Humnst777 Lt BT" w:hAnsi="Humnst777 Lt BT"/>
          <w:b/>
          <w:color w:val="365F91" w:themeColor="accent1" w:themeShade="BF"/>
          <w:sz w:val="28"/>
          <w:szCs w:val="28"/>
        </w:rPr>
        <w:t>IV.</w:t>
      </w:r>
      <w:r w:rsidR="000F2F78" w:rsidRPr="000F2F78">
        <w:rPr>
          <w:rFonts w:ascii="Humnst777 Lt BT" w:hAnsi="Humnst777 Lt BT"/>
          <w:b/>
          <w:color w:val="365F91" w:themeColor="accent1" w:themeShade="BF"/>
          <w:sz w:val="28"/>
          <w:szCs w:val="28"/>
        </w:rPr>
        <w:tab/>
        <w:t>The TILA Disclosure</w:t>
      </w:r>
      <w:r w:rsidR="006E5EE8">
        <w:rPr>
          <w:rFonts w:ascii="Humnst777 Lt BT" w:hAnsi="Humnst777 Lt BT"/>
          <w:b/>
          <w:color w:val="365F91" w:themeColor="accent1" w:themeShade="BF"/>
          <w:sz w:val="28"/>
          <w:szCs w:val="28"/>
        </w:rPr>
        <w:t xml:space="preserve"> Statement</w:t>
      </w:r>
    </w:p>
    <w:p w:rsidR="000F2F78" w:rsidRPr="000F2F78" w:rsidRDefault="006E5EE8" w:rsidP="005212C7">
      <w:pPr>
        <w:pStyle w:val="ListParagraph"/>
        <w:numPr>
          <w:ilvl w:val="0"/>
          <w:numId w:val="4"/>
        </w:numPr>
        <w:autoSpaceDE w:val="0"/>
        <w:autoSpaceDN w:val="0"/>
        <w:adjustRightInd w:val="0"/>
        <w:ind w:right="1170"/>
        <w:rPr>
          <w:sz w:val="24"/>
          <w:szCs w:val="24"/>
        </w:rPr>
      </w:pPr>
      <w:r>
        <w:rPr>
          <w:sz w:val="24"/>
          <w:szCs w:val="24"/>
        </w:rPr>
        <w:t>Overview</w:t>
      </w:r>
    </w:p>
    <w:p w:rsidR="008B4CA7" w:rsidRDefault="006E5EE8" w:rsidP="005212C7">
      <w:pPr>
        <w:pStyle w:val="ListParagraph"/>
        <w:numPr>
          <w:ilvl w:val="0"/>
          <w:numId w:val="4"/>
        </w:numPr>
        <w:autoSpaceDE w:val="0"/>
        <w:autoSpaceDN w:val="0"/>
        <w:adjustRightInd w:val="0"/>
        <w:ind w:right="1170"/>
        <w:rPr>
          <w:sz w:val="24"/>
          <w:szCs w:val="24"/>
        </w:rPr>
      </w:pPr>
      <w:r>
        <w:rPr>
          <w:sz w:val="24"/>
          <w:szCs w:val="24"/>
        </w:rPr>
        <w:t>Disclosure Example</w:t>
      </w:r>
    </w:p>
    <w:p w:rsidR="006E5EE8" w:rsidRDefault="006E5EE8" w:rsidP="005212C7">
      <w:pPr>
        <w:pStyle w:val="ListParagraph"/>
        <w:numPr>
          <w:ilvl w:val="0"/>
          <w:numId w:val="4"/>
        </w:numPr>
        <w:autoSpaceDE w:val="0"/>
        <w:autoSpaceDN w:val="0"/>
        <w:adjustRightInd w:val="0"/>
        <w:ind w:right="1170"/>
        <w:rPr>
          <w:sz w:val="24"/>
          <w:szCs w:val="24"/>
        </w:rPr>
      </w:pPr>
      <w:r>
        <w:rPr>
          <w:sz w:val="24"/>
          <w:szCs w:val="24"/>
        </w:rPr>
        <w:t xml:space="preserve">Requirements of Periodic Statements </w:t>
      </w:r>
      <w:r w:rsidR="006427B1" w:rsidRPr="006427B1">
        <w:rPr>
          <w:sz w:val="24"/>
          <w:szCs w:val="24"/>
        </w:rPr>
        <w:t>(Part 1026.7)</w:t>
      </w:r>
    </w:p>
    <w:p w:rsidR="000E1709" w:rsidRDefault="000E1709">
      <w:pPr>
        <w:pStyle w:val="ListParagraph"/>
        <w:autoSpaceDE w:val="0"/>
        <w:autoSpaceDN w:val="0"/>
        <w:adjustRightInd w:val="0"/>
        <w:ind w:left="2160" w:right="1170"/>
        <w:rPr>
          <w:sz w:val="24"/>
          <w:szCs w:val="24"/>
        </w:rPr>
      </w:pPr>
    </w:p>
    <w:p w:rsidR="008B4CA7" w:rsidRPr="008B4CA7" w:rsidRDefault="008B4CA7" w:rsidP="008B4CA7">
      <w:pPr>
        <w:autoSpaceDE w:val="0"/>
        <w:autoSpaceDN w:val="0"/>
        <w:adjustRightInd w:val="0"/>
        <w:ind w:left="1080" w:right="1170"/>
        <w:rPr>
          <w:rFonts w:ascii="Humnst777 Lt BT" w:hAnsi="Humnst777 Lt BT"/>
          <w:b/>
          <w:color w:val="365F91" w:themeColor="accent1" w:themeShade="BF"/>
          <w:sz w:val="28"/>
          <w:szCs w:val="28"/>
        </w:rPr>
      </w:pPr>
      <w:r w:rsidRPr="00D54844">
        <w:rPr>
          <w:rFonts w:ascii="Humnst777 Lt BT" w:hAnsi="Humnst777 Lt BT"/>
          <w:b/>
          <w:color w:val="365F91" w:themeColor="accent1" w:themeShade="BF"/>
          <w:sz w:val="28"/>
          <w:szCs w:val="28"/>
        </w:rPr>
        <w:t>V.</w:t>
      </w:r>
      <w:r w:rsidRPr="00D54844">
        <w:rPr>
          <w:rFonts w:ascii="Humnst777 Lt BT" w:hAnsi="Humnst777 Lt BT"/>
          <w:b/>
          <w:color w:val="365F91" w:themeColor="accent1" w:themeShade="BF"/>
          <w:sz w:val="28"/>
          <w:szCs w:val="28"/>
        </w:rPr>
        <w:tab/>
        <w:t>Advertising Regulation</w:t>
      </w:r>
      <w:r w:rsidR="006E5EE8">
        <w:rPr>
          <w:rFonts w:ascii="Humnst777 Lt BT" w:hAnsi="Humnst777 Lt BT"/>
          <w:b/>
          <w:color w:val="365F91" w:themeColor="accent1" w:themeShade="BF"/>
          <w:sz w:val="28"/>
          <w:szCs w:val="28"/>
        </w:rPr>
        <w:t xml:space="preserve"> </w:t>
      </w:r>
    </w:p>
    <w:p w:rsidR="008B4CA7" w:rsidRDefault="008B4CA7" w:rsidP="005212C7">
      <w:pPr>
        <w:pStyle w:val="ListParagraph"/>
        <w:numPr>
          <w:ilvl w:val="0"/>
          <w:numId w:val="5"/>
        </w:numPr>
        <w:autoSpaceDE w:val="0"/>
        <w:autoSpaceDN w:val="0"/>
        <w:adjustRightInd w:val="0"/>
        <w:ind w:right="1170"/>
        <w:rPr>
          <w:sz w:val="24"/>
          <w:szCs w:val="24"/>
        </w:rPr>
      </w:pPr>
      <w:r w:rsidRPr="008B4CA7">
        <w:rPr>
          <w:sz w:val="24"/>
          <w:szCs w:val="24"/>
        </w:rPr>
        <w:t>Full Disclosure of Mortgage Terms</w:t>
      </w:r>
    </w:p>
    <w:p w:rsidR="006E5EE8" w:rsidRPr="008B4CA7" w:rsidRDefault="006E5EE8" w:rsidP="005212C7">
      <w:pPr>
        <w:pStyle w:val="ListParagraph"/>
        <w:numPr>
          <w:ilvl w:val="0"/>
          <w:numId w:val="5"/>
        </w:numPr>
        <w:autoSpaceDE w:val="0"/>
        <w:autoSpaceDN w:val="0"/>
        <w:adjustRightInd w:val="0"/>
        <w:ind w:right="1170"/>
        <w:rPr>
          <w:sz w:val="24"/>
          <w:szCs w:val="24"/>
        </w:rPr>
      </w:pPr>
      <w:r>
        <w:rPr>
          <w:sz w:val="24"/>
          <w:szCs w:val="24"/>
        </w:rPr>
        <w:lastRenderedPageBreak/>
        <w:t>Other Advertising Rules</w:t>
      </w:r>
    </w:p>
    <w:p w:rsidR="007A6DA8" w:rsidRDefault="006E5EE8" w:rsidP="005212C7">
      <w:pPr>
        <w:pStyle w:val="ListParagraph"/>
        <w:numPr>
          <w:ilvl w:val="0"/>
          <w:numId w:val="35"/>
        </w:numPr>
        <w:autoSpaceDE w:val="0"/>
        <w:autoSpaceDN w:val="0"/>
        <w:adjustRightInd w:val="0"/>
        <w:ind w:right="1170"/>
        <w:rPr>
          <w:sz w:val="24"/>
          <w:szCs w:val="24"/>
        </w:rPr>
      </w:pPr>
      <w:r>
        <w:rPr>
          <w:sz w:val="24"/>
          <w:szCs w:val="24"/>
        </w:rPr>
        <w:t>Tax Implication</w:t>
      </w:r>
    </w:p>
    <w:p w:rsidR="007A6DA8" w:rsidRDefault="008B4CA7" w:rsidP="005212C7">
      <w:pPr>
        <w:pStyle w:val="ListParagraph"/>
        <w:numPr>
          <w:ilvl w:val="0"/>
          <w:numId w:val="35"/>
        </w:numPr>
        <w:autoSpaceDE w:val="0"/>
        <w:autoSpaceDN w:val="0"/>
        <w:adjustRightInd w:val="0"/>
        <w:ind w:right="1170"/>
        <w:rPr>
          <w:sz w:val="24"/>
          <w:szCs w:val="24"/>
        </w:rPr>
      </w:pPr>
      <w:r w:rsidRPr="008B4CA7">
        <w:rPr>
          <w:sz w:val="24"/>
          <w:szCs w:val="24"/>
        </w:rPr>
        <w:t>Advertise Only Currently Available Terms</w:t>
      </w:r>
    </w:p>
    <w:p w:rsidR="007A6DA8" w:rsidRDefault="008B4CA7" w:rsidP="005212C7">
      <w:pPr>
        <w:pStyle w:val="ListParagraph"/>
        <w:numPr>
          <w:ilvl w:val="0"/>
          <w:numId w:val="35"/>
        </w:numPr>
        <w:autoSpaceDE w:val="0"/>
        <w:autoSpaceDN w:val="0"/>
        <w:adjustRightInd w:val="0"/>
        <w:ind w:right="1170"/>
        <w:rPr>
          <w:sz w:val="24"/>
          <w:szCs w:val="24"/>
        </w:rPr>
      </w:pPr>
      <w:r w:rsidRPr="008B4CA7">
        <w:rPr>
          <w:sz w:val="24"/>
          <w:szCs w:val="24"/>
        </w:rPr>
        <w:t>Advertised Rates</w:t>
      </w:r>
    </w:p>
    <w:p w:rsidR="007A6DA8" w:rsidRDefault="008B4CA7" w:rsidP="005212C7">
      <w:pPr>
        <w:pStyle w:val="ListParagraph"/>
        <w:numPr>
          <w:ilvl w:val="0"/>
          <w:numId w:val="35"/>
        </w:numPr>
        <w:autoSpaceDE w:val="0"/>
        <w:autoSpaceDN w:val="0"/>
        <w:adjustRightInd w:val="0"/>
        <w:ind w:right="1170"/>
        <w:rPr>
          <w:sz w:val="24"/>
          <w:szCs w:val="24"/>
        </w:rPr>
      </w:pPr>
      <w:r w:rsidRPr="008B4CA7">
        <w:rPr>
          <w:sz w:val="24"/>
          <w:szCs w:val="24"/>
        </w:rPr>
        <w:t>Balloons</w:t>
      </w:r>
    </w:p>
    <w:p w:rsidR="007A6DA8" w:rsidRDefault="008B4CA7" w:rsidP="005212C7">
      <w:pPr>
        <w:pStyle w:val="ListParagraph"/>
        <w:numPr>
          <w:ilvl w:val="0"/>
          <w:numId w:val="35"/>
        </w:numPr>
        <w:autoSpaceDE w:val="0"/>
        <w:autoSpaceDN w:val="0"/>
        <w:adjustRightInd w:val="0"/>
        <w:ind w:right="1170"/>
        <w:rPr>
          <w:sz w:val="24"/>
          <w:szCs w:val="24"/>
        </w:rPr>
      </w:pPr>
      <w:r w:rsidRPr="008B4CA7">
        <w:rPr>
          <w:sz w:val="24"/>
          <w:szCs w:val="24"/>
        </w:rPr>
        <w:t>Promotional / Teaser Rates</w:t>
      </w:r>
    </w:p>
    <w:p w:rsidR="007A6DA8" w:rsidRDefault="008B4CA7" w:rsidP="005212C7">
      <w:pPr>
        <w:pStyle w:val="ListParagraph"/>
        <w:numPr>
          <w:ilvl w:val="0"/>
          <w:numId w:val="35"/>
        </w:numPr>
        <w:autoSpaceDE w:val="0"/>
        <w:autoSpaceDN w:val="0"/>
        <w:adjustRightInd w:val="0"/>
        <w:ind w:right="1170"/>
        <w:rPr>
          <w:sz w:val="24"/>
          <w:szCs w:val="24"/>
        </w:rPr>
      </w:pPr>
      <w:r w:rsidRPr="008B4CA7">
        <w:rPr>
          <w:sz w:val="24"/>
          <w:szCs w:val="24"/>
        </w:rPr>
        <w:t>Misleading Comparisons</w:t>
      </w:r>
    </w:p>
    <w:p w:rsidR="007A6DA8" w:rsidRDefault="006E5EE8" w:rsidP="005212C7">
      <w:pPr>
        <w:pStyle w:val="ListParagraph"/>
        <w:numPr>
          <w:ilvl w:val="0"/>
          <w:numId w:val="36"/>
        </w:numPr>
        <w:autoSpaceDE w:val="0"/>
        <w:autoSpaceDN w:val="0"/>
        <w:adjustRightInd w:val="0"/>
        <w:ind w:right="1170"/>
        <w:rPr>
          <w:sz w:val="24"/>
          <w:szCs w:val="24"/>
        </w:rPr>
      </w:pPr>
      <w:r>
        <w:rPr>
          <w:sz w:val="24"/>
          <w:szCs w:val="24"/>
        </w:rPr>
        <w:t>Enforcement (Part 108 of Consumer Protection Act)</w:t>
      </w:r>
    </w:p>
    <w:p w:rsidR="000E1709" w:rsidRDefault="00657BA9">
      <w:pPr>
        <w:autoSpaceDE w:val="0"/>
        <w:autoSpaceDN w:val="0"/>
        <w:adjustRightInd w:val="0"/>
        <w:ind w:left="720" w:right="1170" w:firstLine="720"/>
        <w:rPr>
          <w:rFonts w:ascii="Humnst777 Lt BT" w:hAnsi="Humnst777 Lt BT"/>
          <w:b/>
          <w:color w:val="365F91" w:themeColor="accent1" w:themeShade="BF"/>
          <w:sz w:val="28"/>
          <w:szCs w:val="28"/>
        </w:rPr>
      </w:pPr>
      <w:r w:rsidRPr="00657BA9">
        <w:rPr>
          <w:rFonts w:ascii="Humnst777 Lt BT" w:hAnsi="Humnst777 Lt BT"/>
          <w:b/>
          <w:color w:val="365F91" w:themeColor="accent1" w:themeShade="BF"/>
          <w:sz w:val="28"/>
          <w:szCs w:val="28"/>
        </w:rPr>
        <w:t>VI. Additional Key TILA Rules</w:t>
      </w:r>
    </w:p>
    <w:p w:rsidR="000E1709" w:rsidRDefault="00F46298" w:rsidP="005212C7">
      <w:pPr>
        <w:pStyle w:val="ListParagraph"/>
        <w:numPr>
          <w:ilvl w:val="0"/>
          <w:numId w:val="6"/>
        </w:numPr>
      </w:pPr>
      <w:r w:rsidRPr="00832FA9">
        <w:t>Ability to Repay and Qualified Mortgage Standards</w:t>
      </w:r>
      <w:r w:rsidR="006436A3">
        <w:t xml:space="preserve"> / </w:t>
      </w:r>
      <w:r w:rsidRPr="00832FA9">
        <w:t>Ability to repay</w:t>
      </w:r>
    </w:p>
    <w:p w:rsidR="00403861" w:rsidRDefault="00686965" w:rsidP="005212C7">
      <w:pPr>
        <w:pStyle w:val="ListParagraph"/>
        <w:numPr>
          <w:ilvl w:val="1"/>
          <w:numId w:val="6"/>
        </w:numPr>
        <w:autoSpaceDE w:val="0"/>
        <w:autoSpaceDN w:val="0"/>
        <w:adjustRightInd w:val="0"/>
        <w:ind w:right="1170"/>
      </w:pPr>
      <w:r w:rsidRPr="00D03E2E">
        <w:t>Qualified Mortgages</w:t>
      </w:r>
    </w:p>
    <w:p w:rsidR="00403861" w:rsidRPr="00403861" w:rsidRDefault="00657BA9" w:rsidP="005212C7">
      <w:pPr>
        <w:pStyle w:val="ListParagraph"/>
        <w:numPr>
          <w:ilvl w:val="0"/>
          <w:numId w:val="6"/>
        </w:numPr>
        <w:autoSpaceDE w:val="0"/>
        <w:autoSpaceDN w:val="0"/>
        <w:adjustRightInd w:val="0"/>
        <w:ind w:right="1170"/>
        <w:rPr>
          <w:sz w:val="24"/>
          <w:szCs w:val="24"/>
        </w:rPr>
      </w:pPr>
      <w:r w:rsidRPr="00657BA9">
        <w:rPr>
          <w:sz w:val="24"/>
          <w:szCs w:val="24"/>
        </w:rPr>
        <w:t>Loan Originator Compensation and Steering (12 CFR 1026.36(d) and e))</w:t>
      </w:r>
    </w:p>
    <w:p w:rsidR="000E1709" w:rsidRDefault="00027069" w:rsidP="005212C7">
      <w:pPr>
        <w:pStyle w:val="ListParagraph"/>
        <w:numPr>
          <w:ilvl w:val="0"/>
          <w:numId w:val="57"/>
        </w:numPr>
        <w:autoSpaceDE w:val="0"/>
        <w:autoSpaceDN w:val="0"/>
        <w:adjustRightInd w:val="0"/>
        <w:ind w:right="1170"/>
        <w:rPr>
          <w:sz w:val="24"/>
          <w:szCs w:val="24"/>
        </w:rPr>
      </w:pPr>
      <w:r w:rsidRPr="00D03E2E">
        <w:rPr>
          <w:sz w:val="24"/>
          <w:szCs w:val="24"/>
        </w:rPr>
        <w:t xml:space="preserve">Loan </w:t>
      </w:r>
      <w:r w:rsidR="00DC057C" w:rsidRPr="00D03E2E">
        <w:rPr>
          <w:sz w:val="24"/>
          <w:szCs w:val="24"/>
        </w:rPr>
        <w:t xml:space="preserve">Officer Compensation Rule </w:t>
      </w:r>
      <w:r w:rsidR="005B6614" w:rsidRPr="00D03E2E">
        <w:rPr>
          <w:sz w:val="24"/>
          <w:szCs w:val="24"/>
        </w:rPr>
        <w:t>2014 Updates</w:t>
      </w:r>
    </w:p>
    <w:p w:rsidR="000E1709" w:rsidRDefault="00022274" w:rsidP="005212C7">
      <w:pPr>
        <w:pStyle w:val="ListParagraph"/>
        <w:numPr>
          <w:ilvl w:val="0"/>
          <w:numId w:val="59"/>
        </w:numPr>
        <w:autoSpaceDE w:val="0"/>
        <w:autoSpaceDN w:val="0"/>
        <w:adjustRightInd w:val="0"/>
        <w:ind w:right="1170"/>
        <w:rPr>
          <w:sz w:val="24"/>
          <w:szCs w:val="24"/>
        </w:rPr>
      </w:pPr>
      <w:r w:rsidRPr="00022274">
        <w:rPr>
          <w:sz w:val="24"/>
          <w:szCs w:val="24"/>
        </w:rPr>
        <w:t>1026.36(e)</w:t>
      </w:r>
      <w:r>
        <w:rPr>
          <w:sz w:val="24"/>
          <w:szCs w:val="24"/>
        </w:rPr>
        <w:t xml:space="preserve"> </w:t>
      </w:r>
      <w:r w:rsidR="00CF5859" w:rsidRPr="00D03E2E">
        <w:rPr>
          <w:sz w:val="24"/>
          <w:szCs w:val="24"/>
        </w:rPr>
        <w:t>Prohibition on Steering</w:t>
      </w:r>
    </w:p>
    <w:p w:rsidR="00967C66" w:rsidRPr="00967C66" w:rsidRDefault="00967C66" w:rsidP="005212C7">
      <w:pPr>
        <w:pStyle w:val="ListParagraph"/>
        <w:numPr>
          <w:ilvl w:val="0"/>
          <w:numId w:val="7"/>
        </w:numPr>
        <w:autoSpaceDE w:val="0"/>
        <w:autoSpaceDN w:val="0"/>
        <w:adjustRightInd w:val="0"/>
        <w:ind w:right="1170"/>
        <w:rPr>
          <w:rFonts w:ascii="Humnst777 Lt BT" w:hAnsi="Humnst777 Lt BT"/>
          <w:b/>
          <w:color w:val="365F91" w:themeColor="accent1" w:themeShade="BF"/>
          <w:sz w:val="28"/>
          <w:szCs w:val="28"/>
        </w:rPr>
      </w:pPr>
      <w:r w:rsidRPr="00967C66">
        <w:rPr>
          <w:rFonts w:ascii="Humnst777 Lt BT" w:hAnsi="Humnst777 Lt BT"/>
          <w:b/>
          <w:color w:val="365F91" w:themeColor="accent1" w:themeShade="BF"/>
          <w:sz w:val="28"/>
          <w:szCs w:val="28"/>
        </w:rPr>
        <w:t>HOEPA and Predatory Lending</w:t>
      </w:r>
      <w:r w:rsidR="00DC057C">
        <w:rPr>
          <w:rFonts w:ascii="Humnst777 Lt BT" w:hAnsi="Humnst777 Lt BT"/>
          <w:b/>
          <w:color w:val="365F91" w:themeColor="accent1" w:themeShade="BF"/>
          <w:sz w:val="28"/>
          <w:szCs w:val="28"/>
        </w:rPr>
        <w:t xml:space="preserve"> </w:t>
      </w:r>
      <w:r w:rsidR="005C27C8" w:rsidRPr="005C27C8">
        <w:rPr>
          <w:rFonts w:ascii="Humnst777 Lt BT" w:hAnsi="Humnst777 Lt BT"/>
          <w:b/>
          <w:color w:val="365F91" w:themeColor="accent1" w:themeShade="BF"/>
          <w:sz w:val="28"/>
          <w:szCs w:val="28"/>
        </w:rPr>
        <w:t>(Parts 1026.32 &amp; 1026.35)</w:t>
      </w:r>
    </w:p>
    <w:p w:rsidR="00967C66" w:rsidRPr="00967C66" w:rsidRDefault="00967C66" w:rsidP="005212C7">
      <w:pPr>
        <w:pStyle w:val="ListParagraph"/>
        <w:numPr>
          <w:ilvl w:val="0"/>
          <w:numId w:val="8"/>
        </w:numPr>
        <w:autoSpaceDE w:val="0"/>
        <w:autoSpaceDN w:val="0"/>
        <w:adjustRightInd w:val="0"/>
        <w:ind w:right="1170"/>
        <w:rPr>
          <w:sz w:val="24"/>
          <w:szCs w:val="24"/>
        </w:rPr>
      </w:pPr>
      <w:r w:rsidRPr="00967C66">
        <w:rPr>
          <w:sz w:val="24"/>
          <w:szCs w:val="24"/>
        </w:rPr>
        <w:t>Predatory Lending Background</w:t>
      </w:r>
    </w:p>
    <w:p w:rsidR="00967C66" w:rsidRPr="00967C66" w:rsidRDefault="00967C66" w:rsidP="005212C7">
      <w:pPr>
        <w:pStyle w:val="ListParagraph"/>
        <w:numPr>
          <w:ilvl w:val="0"/>
          <w:numId w:val="8"/>
        </w:numPr>
        <w:autoSpaceDE w:val="0"/>
        <w:autoSpaceDN w:val="0"/>
        <w:adjustRightInd w:val="0"/>
        <w:ind w:right="1170"/>
        <w:rPr>
          <w:sz w:val="24"/>
          <w:szCs w:val="24"/>
        </w:rPr>
      </w:pPr>
      <w:r w:rsidRPr="00967C66">
        <w:rPr>
          <w:sz w:val="24"/>
          <w:szCs w:val="24"/>
        </w:rPr>
        <w:t>Subprime Lending</w:t>
      </w:r>
    </w:p>
    <w:p w:rsidR="00967C66" w:rsidRPr="00967C66" w:rsidRDefault="00967C66" w:rsidP="005212C7">
      <w:pPr>
        <w:pStyle w:val="ListParagraph"/>
        <w:numPr>
          <w:ilvl w:val="0"/>
          <w:numId w:val="8"/>
        </w:numPr>
        <w:autoSpaceDE w:val="0"/>
        <w:autoSpaceDN w:val="0"/>
        <w:adjustRightInd w:val="0"/>
        <w:ind w:right="1170"/>
        <w:rPr>
          <w:sz w:val="24"/>
          <w:szCs w:val="24"/>
        </w:rPr>
      </w:pPr>
      <w:r w:rsidRPr="00967C66">
        <w:rPr>
          <w:sz w:val="24"/>
          <w:szCs w:val="24"/>
        </w:rPr>
        <w:t>Examples of Predatory Lending</w:t>
      </w:r>
      <w:r w:rsidR="00DC057C">
        <w:rPr>
          <w:sz w:val="24"/>
          <w:szCs w:val="24"/>
        </w:rPr>
        <w:t xml:space="preserve"> Activities</w:t>
      </w:r>
    </w:p>
    <w:p w:rsidR="00967C66" w:rsidRPr="00967C66" w:rsidRDefault="00967C66" w:rsidP="005212C7">
      <w:pPr>
        <w:pStyle w:val="ListParagraph"/>
        <w:numPr>
          <w:ilvl w:val="0"/>
          <w:numId w:val="7"/>
        </w:numPr>
        <w:autoSpaceDE w:val="0"/>
        <w:autoSpaceDN w:val="0"/>
        <w:adjustRightInd w:val="0"/>
        <w:ind w:right="1170"/>
        <w:rPr>
          <w:rFonts w:ascii="Humnst777 Lt BT" w:hAnsi="Humnst777 Lt BT"/>
          <w:b/>
          <w:color w:val="365F91" w:themeColor="accent1" w:themeShade="BF"/>
          <w:sz w:val="28"/>
          <w:szCs w:val="28"/>
        </w:rPr>
      </w:pPr>
      <w:r w:rsidRPr="00967C66">
        <w:rPr>
          <w:rFonts w:ascii="Humnst777 Lt BT" w:hAnsi="Humnst777 Lt BT"/>
          <w:b/>
          <w:color w:val="365F91" w:themeColor="accent1" w:themeShade="BF"/>
          <w:sz w:val="28"/>
          <w:szCs w:val="28"/>
        </w:rPr>
        <w:t>HOEPA Regulations</w:t>
      </w:r>
      <w:r w:rsidR="00DC057C">
        <w:rPr>
          <w:rFonts w:ascii="Humnst777 Lt BT" w:hAnsi="Humnst777 Lt BT"/>
          <w:b/>
          <w:color w:val="365F91" w:themeColor="accent1" w:themeShade="BF"/>
          <w:sz w:val="28"/>
          <w:szCs w:val="28"/>
        </w:rPr>
        <w:t xml:space="preserve"> for All Mortgages </w:t>
      </w:r>
      <w:r w:rsidR="00A10EC3" w:rsidRPr="00A10EC3">
        <w:rPr>
          <w:rFonts w:ascii="Humnst777 Lt BT" w:hAnsi="Humnst777 Lt BT"/>
          <w:b/>
          <w:color w:val="365F91" w:themeColor="accent1" w:themeShade="BF"/>
          <w:sz w:val="28"/>
          <w:szCs w:val="28"/>
        </w:rPr>
        <w:t>(Section 1026.32)</w:t>
      </w:r>
    </w:p>
    <w:p w:rsidR="007A6DA8" w:rsidRDefault="00967C66" w:rsidP="005212C7">
      <w:pPr>
        <w:pStyle w:val="ListParagraph"/>
        <w:numPr>
          <w:ilvl w:val="0"/>
          <w:numId w:val="53"/>
        </w:numPr>
        <w:autoSpaceDE w:val="0"/>
        <w:autoSpaceDN w:val="0"/>
        <w:adjustRightInd w:val="0"/>
        <w:ind w:right="1170"/>
        <w:rPr>
          <w:sz w:val="24"/>
          <w:szCs w:val="24"/>
        </w:rPr>
      </w:pPr>
      <w:r w:rsidRPr="00967C66">
        <w:rPr>
          <w:sz w:val="24"/>
          <w:szCs w:val="24"/>
        </w:rPr>
        <w:t>Servicer Limitations</w:t>
      </w:r>
    </w:p>
    <w:p w:rsidR="007A6DA8" w:rsidRDefault="00967C66" w:rsidP="005212C7">
      <w:pPr>
        <w:pStyle w:val="ListParagraph"/>
        <w:numPr>
          <w:ilvl w:val="0"/>
          <w:numId w:val="53"/>
        </w:numPr>
        <w:autoSpaceDE w:val="0"/>
        <w:autoSpaceDN w:val="0"/>
        <w:adjustRightInd w:val="0"/>
        <w:ind w:right="1170"/>
        <w:rPr>
          <w:sz w:val="24"/>
          <w:szCs w:val="24"/>
        </w:rPr>
      </w:pPr>
      <w:r w:rsidRPr="00967C66">
        <w:rPr>
          <w:sz w:val="24"/>
          <w:szCs w:val="24"/>
        </w:rPr>
        <w:t>Appraisal Limitations</w:t>
      </w:r>
    </w:p>
    <w:p w:rsidR="007A6DA8" w:rsidRDefault="00967C66" w:rsidP="005212C7">
      <w:pPr>
        <w:pStyle w:val="ListParagraph"/>
        <w:numPr>
          <w:ilvl w:val="0"/>
          <w:numId w:val="53"/>
        </w:numPr>
        <w:autoSpaceDE w:val="0"/>
        <w:autoSpaceDN w:val="0"/>
        <w:adjustRightInd w:val="0"/>
        <w:ind w:right="1170"/>
        <w:rPr>
          <w:sz w:val="24"/>
          <w:szCs w:val="24"/>
        </w:rPr>
      </w:pPr>
      <w:r w:rsidRPr="00967C66">
        <w:rPr>
          <w:sz w:val="24"/>
          <w:szCs w:val="24"/>
        </w:rPr>
        <w:t>Further Advertising Limits</w:t>
      </w:r>
    </w:p>
    <w:p w:rsidR="007A6DA8" w:rsidRDefault="00DC057C" w:rsidP="005212C7">
      <w:pPr>
        <w:pStyle w:val="ListParagraph"/>
        <w:numPr>
          <w:ilvl w:val="0"/>
          <w:numId w:val="53"/>
        </w:numPr>
        <w:autoSpaceDE w:val="0"/>
        <w:autoSpaceDN w:val="0"/>
        <w:adjustRightInd w:val="0"/>
        <w:ind w:right="1170"/>
        <w:rPr>
          <w:rFonts w:ascii="Arial" w:hAnsi="Arial" w:cs="Arial"/>
          <w:bCs/>
        </w:rPr>
      </w:pPr>
      <w:r w:rsidRPr="00967C66">
        <w:rPr>
          <w:sz w:val="24"/>
          <w:szCs w:val="24"/>
        </w:rPr>
        <w:t>3</w:t>
      </w:r>
      <w:r>
        <w:rPr>
          <w:sz w:val="24"/>
          <w:szCs w:val="24"/>
        </w:rPr>
        <w:t>-</w:t>
      </w:r>
      <w:r w:rsidRPr="00967C66">
        <w:rPr>
          <w:sz w:val="24"/>
          <w:szCs w:val="24"/>
        </w:rPr>
        <w:t>Business</w:t>
      </w:r>
      <w:r>
        <w:rPr>
          <w:sz w:val="24"/>
          <w:szCs w:val="24"/>
        </w:rPr>
        <w:t>-</w:t>
      </w:r>
      <w:r w:rsidR="00967C66" w:rsidRPr="00967C66">
        <w:rPr>
          <w:sz w:val="24"/>
          <w:szCs w:val="24"/>
        </w:rPr>
        <w:t xml:space="preserve">Day </w:t>
      </w:r>
      <w:r>
        <w:rPr>
          <w:sz w:val="24"/>
          <w:szCs w:val="24"/>
        </w:rPr>
        <w:t>Disclosure R</w:t>
      </w:r>
      <w:r w:rsidRPr="00967C66">
        <w:rPr>
          <w:sz w:val="24"/>
          <w:szCs w:val="24"/>
        </w:rPr>
        <w:t>equirement</w:t>
      </w:r>
    </w:p>
    <w:p w:rsidR="00967C66" w:rsidRPr="00967C66" w:rsidRDefault="0085693A" w:rsidP="005212C7">
      <w:pPr>
        <w:pStyle w:val="ListParagraph"/>
        <w:numPr>
          <w:ilvl w:val="0"/>
          <w:numId w:val="7"/>
        </w:numPr>
        <w:autoSpaceDE w:val="0"/>
        <w:autoSpaceDN w:val="0"/>
        <w:adjustRightInd w:val="0"/>
        <w:ind w:right="1170"/>
        <w:rPr>
          <w:rFonts w:ascii="Humnst777 Lt BT" w:hAnsi="Humnst777 Lt BT"/>
          <w:b/>
          <w:color w:val="365F91" w:themeColor="accent1" w:themeShade="BF"/>
          <w:sz w:val="28"/>
          <w:szCs w:val="28"/>
        </w:rPr>
      </w:pPr>
      <w:r w:rsidRPr="00967C66">
        <w:rPr>
          <w:rFonts w:ascii="Humnst777 Lt BT" w:hAnsi="Humnst777 Lt BT"/>
          <w:b/>
          <w:color w:val="365F91" w:themeColor="accent1" w:themeShade="BF"/>
          <w:sz w:val="28"/>
          <w:szCs w:val="28"/>
        </w:rPr>
        <w:t>Higher</w:t>
      </w:r>
      <w:r>
        <w:rPr>
          <w:rFonts w:ascii="Humnst777 Lt BT" w:hAnsi="Humnst777 Lt BT"/>
          <w:b/>
          <w:color w:val="365F91" w:themeColor="accent1" w:themeShade="BF"/>
          <w:sz w:val="28"/>
          <w:szCs w:val="28"/>
        </w:rPr>
        <w:t>-</w:t>
      </w:r>
      <w:r w:rsidR="00967C66" w:rsidRPr="00967C66">
        <w:rPr>
          <w:rFonts w:ascii="Humnst777 Lt BT" w:hAnsi="Humnst777 Lt BT"/>
          <w:b/>
          <w:color w:val="365F91" w:themeColor="accent1" w:themeShade="BF"/>
          <w:sz w:val="28"/>
          <w:szCs w:val="28"/>
        </w:rPr>
        <w:t>Priced Mortgages</w:t>
      </w:r>
      <w:r w:rsidR="007E34B9">
        <w:rPr>
          <w:rFonts w:ascii="Humnst777 Lt BT" w:hAnsi="Humnst777 Lt BT"/>
          <w:b/>
          <w:color w:val="365F91" w:themeColor="accent1" w:themeShade="BF"/>
          <w:sz w:val="28"/>
          <w:szCs w:val="28"/>
        </w:rPr>
        <w:t xml:space="preserve"> </w:t>
      </w:r>
      <w:r w:rsidR="00967C66" w:rsidRPr="00967C66">
        <w:rPr>
          <w:rFonts w:ascii="Humnst777 Lt BT" w:hAnsi="Humnst777 Lt BT"/>
          <w:b/>
          <w:color w:val="365F91" w:themeColor="accent1" w:themeShade="BF"/>
          <w:sz w:val="28"/>
          <w:szCs w:val="28"/>
        </w:rPr>
        <w:t>(Section 35)</w:t>
      </w:r>
    </w:p>
    <w:p w:rsidR="007A6DA8" w:rsidRPr="0018700A" w:rsidRDefault="00657BA9" w:rsidP="005212C7">
      <w:pPr>
        <w:pStyle w:val="ListParagraph"/>
        <w:numPr>
          <w:ilvl w:val="0"/>
          <w:numId w:val="9"/>
        </w:numPr>
        <w:autoSpaceDE w:val="0"/>
        <w:autoSpaceDN w:val="0"/>
        <w:adjustRightInd w:val="0"/>
        <w:ind w:right="1170"/>
        <w:rPr>
          <w:rFonts w:asciiTheme="minorHAnsi" w:hAnsiTheme="minorHAnsi"/>
          <w:sz w:val="24"/>
          <w:szCs w:val="24"/>
        </w:rPr>
      </w:pPr>
      <w:r w:rsidRPr="00657BA9">
        <w:rPr>
          <w:rFonts w:asciiTheme="minorHAnsi" w:hAnsiTheme="minorHAnsi"/>
          <w:sz w:val="24"/>
          <w:szCs w:val="24"/>
        </w:rPr>
        <w:t>Background for HOEPA Section 32 and Section 35</w:t>
      </w:r>
    </w:p>
    <w:p w:rsidR="00967C66" w:rsidRPr="00967C66" w:rsidRDefault="001E1D0D" w:rsidP="005212C7">
      <w:pPr>
        <w:pStyle w:val="ListParagraph"/>
        <w:numPr>
          <w:ilvl w:val="0"/>
          <w:numId w:val="9"/>
        </w:numPr>
        <w:autoSpaceDE w:val="0"/>
        <w:autoSpaceDN w:val="0"/>
        <w:adjustRightInd w:val="0"/>
        <w:ind w:right="1170"/>
        <w:rPr>
          <w:sz w:val="24"/>
          <w:szCs w:val="24"/>
        </w:rPr>
      </w:pPr>
      <w:r>
        <w:rPr>
          <w:sz w:val="24"/>
          <w:szCs w:val="24"/>
        </w:rPr>
        <w:t xml:space="preserve">Higher-Priced </w:t>
      </w:r>
      <w:r w:rsidR="0085693A">
        <w:rPr>
          <w:sz w:val="24"/>
          <w:szCs w:val="24"/>
        </w:rPr>
        <w:t>Mortgage</w:t>
      </w:r>
      <w:r w:rsidR="001F1BFA">
        <w:rPr>
          <w:sz w:val="24"/>
          <w:szCs w:val="24"/>
        </w:rPr>
        <w:t xml:space="preserve"> Loans</w:t>
      </w:r>
      <w:r w:rsidR="0085693A">
        <w:rPr>
          <w:sz w:val="24"/>
          <w:szCs w:val="24"/>
        </w:rPr>
        <w:t xml:space="preserve"> (in HOEPA Section 35</w:t>
      </w:r>
      <w:r w:rsidR="00650ABB">
        <w:rPr>
          <w:sz w:val="24"/>
          <w:szCs w:val="24"/>
        </w:rPr>
        <w:t>)</w:t>
      </w:r>
      <w:r w:rsidR="00BB7CF6">
        <w:rPr>
          <w:sz w:val="24"/>
          <w:szCs w:val="24"/>
        </w:rPr>
        <w:t>,</w:t>
      </w:r>
      <w:r w:rsidR="0085693A">
        <w:rPr>
          <w:sz w:val="24"/>
          <w:szCs w:val="24"/>
        </w:rPr>
        <w:t xml:space="preserve"> Loans Covered</w:t>
      </w:r>
      <w:r w:rsidR="001F1BFA">
        <w:rPr>
          <w:sz w:val="24"/>
          <w:szCs w:val="24"/>
        </w:rPr>
        <w:t xml:space="preserve"> </w:t>
      </w:r>
    </w:p>
    <w:p w:rsidR="00967C66" w:rsidRDefault="0085693A" w:rsidP="005212C7">
      <w:pPr>
        <w:pStyle w:val="ListParagraph"/>
        <w:numPr>
          <w:ilvl w:val="0"/>
          <w:numId w:val="9"/>
        </w:numPr>
        <w:autoSpaceDE w:val="0"/>
        <w:autoSpaceDN w:val="0"/>
        <w:adjustRightInd w:val="0"/>
        <w:ind w:right="1170"/>
        <w:rPr>
          <w:sz w:val="24"/>
          <w:szCs w:val="24"/>
        </w:rPr>
      </w:pPr>
      <w:r>
        <w:rPr>
          <w:sz w:val="24"/>
          <w:szCs w:val="24"/>
        </w:rPr>
        <w:t>Regulations</w:t>
      </w:r>
    </w:p>
    <w:p w:rsidR="000E1709" w:rsidRDefault="000E1709">
      <w:pPr>
        <w:autoSpaceDE w:val="0"/>
        <w:autoSpaceDN w:val="0"/>
        <w:adjustRightInd w:val="0"/>
        <w:ind w:right="1170"/>
        <w:rPr>
          <w:sz w:val="24"/>
          <w:szCs w:val="24"/>
        </w:rPr>
      </w:pPr>
    </w:p>
    <w:p w:rsidR="000E1709" w:rsidRDefault="000E1709">
      <w:pPr>
        <w:autoSpaceDE w:val="0"/>
        <w:autoSpaceDN w:val="0"/>
        <w:adjustRightInd w:val="0"/>
        <w:ind w:right="1170"/>
        <w:rPr>
          <w:sz w:val="24"/>
          <w:szCs w:val="24"/>
        </w:rPr>
      </w:pPr>
    </w:p>
    <w:p w:rsidR="00967C66" w:rsidRPr="00967C66" w:rsidRDefault="0085693A" w:rsidP="005212C7">
      <w:pPr>
        <w:pStyle w:val="ListParagraph"/>
        <w:numPr>
          <w:ilvl w:val="0"/>
          <w:numId w:val="7"/>
        </w:numPr>
        <w:autoSpaceDE w:val="0"/>
        <w:autoSpaceDN w:val="0"/>
        <w:adjustRightInd w:val="0"/>
        <w:ind w:right="1170"/>
        <w:rPr>
          <w:rFonts w:ascii="Humnst777 Lt BT" w:hAnsi="Humnst777 Lt BT"/>
          <w:b/>
          <w:color w:val="365F91" w:themeColor="accent1" w:themeShade="BF"/>
          <w:sz w:val="28"/>
          <w:szCs w:val="28"/>
        </w:rPr>
      </w:pPr>
      <w:r w:rsidRPr="00967C66">
        <w:rPr>
          <w:rFonts w:ascii="Humnst777 Lt BT" w:hAnsi="Humnst777 Lt BT"/>
          <w:b/>
          <w:color w:val="365F91" w:themeColor="accent1" w:themeShade="BF"/>
          <w:sz w:val="28"/>
          <w:szCs w:val="28"/>
        </w:rPr>
        <w:t>High</w:t>
      </w:r>
      <w:r>
        <w:rPr>
          <w:rFonts w:ascii="Humnst777 Lt BT" w:hAnsi="Humnst777 Lt BT"/>
          <w:b/>
          <w:color w:val="365F91" w:themeColor="accent1" w:themeShade="BF"/>
          <w:sz w:val="28"/>
          <w:szCs w:val="28"/>
        </w:rPr>
        <w:t>-</w:t>
      </w:r>
      <w:r w:rsidR="00967C66" w:rsidRPr="00967C66">
        <w:rPr>
          <w:rFonts w:ascii="Humnst777 Lt BT" w:hAnsi="Humnst777 Lt BT"/>
          <w:b/>
          <w:color w:val="365F91" w:themeColor="accent1" w:themeShade="BF"/>
          <w:sz w:val="28"/>
          <w:szCs w:val="28"/>
        </w:rPr>
        <w:t>Cost Mortgages (</w:t>
      </w:r>
      <w:r>
        <w:rPr>
          <w:rFonts w:ascii="Humnst777 Lt BT" w:hAnsi="Humnst777 Lt BT"/>
          <w:b/>
          <w:color w:val="365F91" w:themeColor="accent1" w:themeShade="BF"/>
          <w:sz w:val="28"/>
          <w:szCs w:val="28"/>
        </w:rPr>
        <w:t xml:space="preserve">in HOEPA </w:t>
      </w:r>
      <w:r w:rsidR="00967C66" w:rsidRPr="00967C66">
        <w:rPr>
          <w:rFonts w:ascii="Humnst777 Lt BT" w:hAnsi="Humnst777 Lt BT"/>
          <w:b/>
          <w:color w:val="365F91" w:themeColor="accent1" w:themeShade="BF"/>
          <w:sz w:val="28"/>
          <w:szCs w:val="28"/>
        </w:rPr>
        <w:t xml:space="preserve">Section 32) </w:t>
      </w:r>
    </w:p>
    <w:p w:rsidR="00967C66" w:rsidRDefault="00967C66" w:rsidP="005212C7">
      <w:pPr>
        <w:pStyle w:val="ListParagraph"/>
        <w:numPr>
          <w:ilvl w:val="0"/>
          <w:numId w:val="10"/>
        </w:numPr>
        <w:autoSpaceDE w:val="0"/>
        <w:autoSpaceDN w:val="0"/>
        <w:adjustRightInd w:val="0"/>
        <w:ind w:right="1170"/>
        <w:rPr>
          <w:sz w:val="24"/>
          <w:szCs w:val="24"/>
        </w:rPr>
      </w:pPr>
      <w:r w:rsidRPr="00967C66">
        <w:rPr>
          <w:sz w:val="24"/>
          <w:szCs w:val="24"/>
        </w:rPr>
        <w:t>Loan Types Covered</w:t>
      </w:r>
    </w:p>
    <w:p w:rsidR="007A6DA8" w:rsidRDefault="0085693A" w:rsidP="005212C7">
      <w:pPr>
        <w:pStyle w:val="ListParagraph"/>
        <w:numPr>
          <w:ilvl w:val="0"/>
          <w:numId w:val="37"/>
        </w:numPr>
        <w:autoSpaceDE w:val="0"/>
        <w:autoSpaceDN w:val="0"/>
        <w:adjustRightInd w:val="0"/>
        <w:ind w:right="1170"/>
        <w:rPr>
          <w:sz w:val="24"/>
          <w:szCs w:val="24"/>
        </w:rPr>
      </w:pPr>
      <w:r>
        <w:rPr>
          <w:sz w:val="24"/>
          <w:szCs w:val="24"/>
        </w:rPr>
        <w:t>APR Triggers</w:t>
      </w:r>
    </w:p>
    <w:p w:rsidR="00967C66" w:rsidRDefault="0085693A" w:rsidP="005212C7">
      <w:pPr>
        <w:pStyle w:val="ListParagraph"/>
        <w:numPr>
          <w:ilvl w:val="0"/>
          <w:numId w:val="10"/>
        </w:numPr>
        <w:autoSpaceDE w:val="0"/>
        <w:autoSpaceDN w:val="0"/>
        <w:adjustRightInd w:val="0"/>
        <w:ind w:right="1170"/>
        <w:rPr>
          <w:sz w:val="24"/>
          <w:szCs w:val="24"/>
        </w:rPr>
      </w:pPr>
      <w:r>
        <w:rPr>
          <w:sz w:val="24"/>
          <w:szCs w:val="24"/>
        </w:rPr>
        <w:t>Regulations</w:t>
      </w:r>
    </w:p>
    <w:p w:rsidR="007A6DA8" w:rsidRDefault="0085693A" w:rsidP="005212C7">
      <w:pPr>
        <w:pStyle w:val="ListParagraph"/>
        <w:numPr>
          <w:ilvl w:val="0"/>
          <w:numId w:val="38"/>
        </w:numPr>
        <w:autoSpaceDE w:val="0"/>
        <w:autoSpaceDN w:val="0"/>
        <w:adjustRightInd w:val="0"/>
        <w:ind w:right="1170"/>
        <w:rPr>
          <w:sz w:val="24"/>
          <w:szCs w:val="24"/>
        </w:rPr>
      </w:pPr>
      <w:r>
        <w:rPr>
          <w:sz w:val="24"/>
          <w:szCs w:val="24"/>
        </w:rPr>
        <w:t>Disclosures / Rescissions</w:t>
      </w:r>
    </w:p>
    <w:p w:rsidR="007A6DA8" w:rsidRDefault="00967C66" w:rsidP="005212C7">
      <w:pPr>
        <w:pStyle w:val="ListParagraph"/>
        <w:numPr>
          <w:ilvl w:val="0"/>
          <w:numId w:val="38"/>
        </w:numPr>
        <w:autoSpaceDE w:val="0"/>
        <w:autoSpaceDN w:val="0"/>
        <w:adjustRightInd w:val="0"/>
        <w:ind w:right="1170"/>
        <w:rPr>
          <w:sz w:val="24"/>
          <w:szCs w:val="24"/>
        </w:rPr>
      </w:pPr>
      <w:r w:rsidRPr="00967C66">
        <w:rPr>
          <w:sz w:val="24"/>
          <w:szCs w:val="24"/>
        </w:rPr>
        <w:t>Prohibitions</w:t>
      </w:r>
    </w:p>
    <w:p w:rsidR="007A6DA8" w:rsidRDefault="00967C66" w:rsidP="005212C7">
      <w:pPr>
        <w:pStyle w:val="BodyText"/>
        <w:numPr>
          <w:ilvl w:val="1"/>
          <w:numId w:val="39"/>
        </w:numPr>
        <w:rPr>
          <w:rFonts w:asciiTheme="minorHAnsi" w:hAnsiTheme="minorHAnsi"/>
        </w:rPr>
      </w:pPr>
      <w:r w:rsidRPr="00065834">
        <w:rPr>
          <w:rFonts w:asciiTheme="minorHAnsi" w:hAnsiTheme="minorHAnsi"/>
        </w:rPr>
        <w:t>Balloon Payment Prohibitions</w:t>
      </w:r>
    </w:p>
    <w:p w:rsidR="007A6DA8" w:rsidRDefault="00967C66" w:rsidP="005212C7">
      <w:pPr>
        <w:pStyle w:val="BodyText"/>
        <w:numPr>
          <w:ilvl w:val="1"/>
          <w:numId w:val="39"/>
        </w:numPr>
        <w:rPr>
          <w:rFonts w:asciiTheme="minorHAnsi" w:hAnsiTheme="minorHAnsi"/>
        </w:rPr>
      </w:pPr>
      <w:r w:rsidRPr="00065834">
        <w:rPr>
          <w:rFonts w:asciiTheme="minorHAnsi" w:hAnsiTheme="minorHAnsi"/>
        </w:rPr>
        <w:t>Negative Amortization</w:t>
      </w:r>
    </w:p>
    <w:p w:rsidR="007A6DA8" w:rsidRDefault="00967C66" w:rsidP="005212C7">
      <w:pPr>
        <w:pStyle w:val="BodyText"/>
        <w:numPr>
          <w:ilvl w:val="1"/>
          <w:numId w:val="39"/>
        </w:numPr>
        <w:rPr>
          <w:rFonts w:asciiTheme="minorHAnsi" w:hAnsiTheme="minorHAnsi"/>
        </w:rPr>
      </w:pPr>
      <w:r w:rsidRPr="00065834">
        <w:rPr>
          <w:rFonts w:asciiTheme="minorHAnsi" w:hAnsiTheme="minorHAnsi"/>
        </w:rPr>
        <w:t>Default Rate Limitations</w:t>
      </w:r>
    </w:p>
    <w:p w:rsidR="007A6DA8" w:rsidRDefault="00967C66" w:rsidP="005212C7">
      <w:pPr>
        <w:pStyle w:val="BodyText"/>
        <w:numPr>
          <w:ilvl w:val="1"/>
          <w:numId w:val="39"/>
        </w:numPr>
        <w:rPr>
          <w:rFonts w:asciiTheme="minorHAnsi" w:hAnsiTheme="minorHAnsi"/>
        </w:rPr>
      </w:pPr>
      <w:r w:rsidRPr="00065834">
        <w:rPr>
          <w:rFonts w:asciiTheme="minorHAnsi" w:hAnsiTheme="minorHAnsi"/>
        </w:rPr>
        <w:t>Prepayment Penalties</w:t>
      </w:r>
    </w:p>
    <w:p w:rsidR="007A6DA8" w:rsidRDefault="00967C66" w:rsidP="005212C7">
      <w:pPr>
        <w:pStyle w:val="BodyText"/>
        <w:numPr>
          <w:ilvl w:val="1"/>
          <w:numId w:val="39"/>
        </w:numPr>
        <w:rPr>
          <w:rFonts w:asciiTheme="minorHAnsi" w:hAnsiTheme="minorHAnsi"/>
        </w:rPr>
      </w:pPr>
      <w:r w:rsidRPr="00065834">
        <w:rPr>
          <w:rFonts w:asciiTheme="minorHAnsi" w:hAnsiTheme="minorHAnsi"/>
        </w:rPr>
        <w:t>Due-on-Demand Clause</w:t>
      </w:r>
    </w:p>
    <w:p w:rsidR="007A6DA8" w:rsidRDefault="0085693A" w:rsidP="005212C7">
      <w:pPr>
        <w:pStyle w:val="ListParagraph"/>
        <w:numPr>
          <w:ilvl w:val="0"/>
          <w:numId w:val="38"/>
        </w:numPr>
        <w:autoSpaceDE w:val="0"/>
        <w:autoSpaceDN w:val="0"/>
        <w:adjustRightInd w:val="0"/>
        <w:ind w:right="1170"/>
        <w:rPr>
          <w:sz w:val="24"/>
          <w:szCs w:val="24"/>
        </w:rPr>
      </w:pPr>
      <w:r>
        <w:rPr>
          <w:sz w:val="24"/>
          <w:szCs w:val="24"/>
        </w:rPr>
        <w:t xml:space="preserve">Newly-Added </w:t>
      </w:r>
      <w:r w:rsidR="00967C66" w:rsidRPr="00967C66">
        <w:rPr>
          <w:sz w:val="24"/>
          <w:szCs w:val="24"/>
        </w:rPr>
        <w:t xml:space="preserve">Prohibitions After </w:t>
      </w:r>
      <w:r>
        <w:rPr>
          <w:sz w:val="24"/>
          <w:szCs w:val="24"/>
        </w:rPr>
        <w:t>2002</w:t>
      </w:r>
    </w:p>
    <w:p w:rsidR="007A6DA8" w:rsidRDefault="00967C66" w:rsidP="005212C7">
      <w:pPr>
        <w:pStyle w:val="BodyText"/>
        <w:numPr>
          <w:ilvl w:val="0"/>
          <w:numId w:val="40"/>
        </w:numPr>
        <w:rPr>
          <w:rFonts w:asciiTheme="minorHAnsi" w:hAnsiTheme="minorHAnsi"/>
        </w:rPr>
      </w:pPr>
      <w:r w:rsidRPr="00065834">
        <w:rPr>
          <w:rFonts w:asciiTheme="minorHAnsi" w:hAnsiTheme="minorHAnsi"/>
        </w:rPr>
        <w:t xml:space="preserve">Lending Without Considering </w:t>
      </w:r>
      <w:r w:rsidR="00680FFE">
        <w:rPr>
          <w:rFonts w:asciiTheme="minorHAnsi" w:hAnsiTheme="minorHAnsi"/>
        </w:rPr>
        <w:t>R</w:t>
      </w:r>
      <w:r w:rsidR="00680FFE" w:rsidRPr="00065834">
        <w:rPr>
          <w:rFonts w:asciiTheme="minorHAnsi" w:hAnsiTheme="minorHAnsi"/>
        </w:rPr>
        <w:t xml:space="preserve">epayment </w:t>
      </w:r>
      <w:r w:rsidRPr="00065834">
        <w:rPr>
          <w:rFonts w:asciiTheme="minorHAnsi" w:hAnsiTheme="minorHAnsi"/>
        </w:rPr>
        <w:t>Ability</w:t>
      </w:r>
      <w:r w:rsidR="00BC1D46">
        <w:rPr>
          <w:rFonts w:asciiTheme="minorHAnsi" w:hAnsiTheme="minorHAnsi"/>
        </w:rPr>
        <w:t xml:space="preserve"> and Income Verification</w:t>
      </w:r>
    </w:p>
    <w:p w:rsidR="007A6DA8" w:rsidRDefault="00967C66" w:rsidP="005212C7">
      <w:pPr>
        <w:pStyle w:val="BodyText"/>
        <w:numPr>
          <w:ilvl w:val="0"/>
          <w:numId w:val="40"/>
        </w:numPr>
        <w:rPr>
          <w:rFonts w:asciiTheme="minorHAnsi" w:hAnsiTheme="minorHAnsi"/>
        </w:rPr>
      </w:pPr>
      <w:r w:rsidRPr="00065834">
        <w:rPr>
          <w:rFonts w:asciiTheme="minorHAnsi" w:hAnsiTheme="minorHAnsi"/>
        </w:rPr>
        <w:t>Refinancing Limitations</w:t>
      </w:r>
    </w:p>
    <w:p w:rsidR="007A6DA8" w:rsidRDefault="00967C66" w:rsidP="005212C7">
      <w:pPr>
        <w:pStyle w:val="BodyText"/>
        <w:numPr>
          <w:ilvl w:val="0"/>
          <w:numId w:val="40"/>
        </w:numPr>
        <w:rPr>
          <w:rFonts w:asciiTheme="minorHAnsi" w:hAnsiTheme="minorHAnsi"/>
        </w:rPr>
      </w:pPr>
      <w:r w:rsidRPr="00065834">
        <w:rPr>
          <w:rFonts w:asciiTheme="minorHAnsi" w:hAnsiTheme="minorHAnsi"/>
        </w:rPr>
        <w:t>Home Improvement Proceeds</w:t>
      </w:r>
    </w:p>
    <w:p w:rsidR="007A6DA8" w:rsidRDefault="00967C66" w:rsidP="005212C7">
      <w:pPr>
        <w:pStyle w:val="BodyText"/>
        <w:numPr>
          <w:ilvl w:val="0"/>
          <w:numId w:val="40"/>
        </w:numPr>
        <w:rPr>
          <w:rFonts w:asciiTheme="minorHAnsi" w:hAnsiTheme="minorHAnsi"/>
        </w:rPr>
      </w:pPr>
      <w:r w:rsidRPr="00065834">
        <w:rPr>
          <w:rFonts w:asciiTheme="minorHAnsi" w:hAnsiTheme="minorHAnsi"/>
        </w:rPr>
        <w:lastRenderedPageBreak/>
        <w:t>Regulation Evasion</w:t>
      </w:r>
    </w:p>
    <w:p w:rsidR="007A6DA8" w:rsidRDefault="00967C66" w:rsidP="005212C7">
      <w:pPr>
        <w:pStyle w:val="ListParagraph"/>
        <w:numPr>
          <w:ilvl w:val="0"/>
          <w:numId w:val="38"/>
        </w:numPr>
        <w:autoSpaceDE w:val="0"/>
        <w:autoSpaceDN w:val="0"/>
        <w:adjustRightInd w:val="0"/>
        <w:ind w:right="1170"/>
        <w:rPr>
          <w:sz w:val="24"/>
          <w:szCs w:val="24"/>
        </w:rPr>
      </w:pPr>
      <w:r w:rsidRPr="00967C66">
        <w:rPr>
          <w:sz w:val="24"/>
          <w:szCs w:val="24"/>
        </w:rPr>
        <w:t>Penalties</w:t>
      </w:r>
    </w:p>
    <w:p w:rsidR="007A6DA8" w:rsidRDefault="002D1533" w:rsidP="005212C7">
      <w:pPr>
        <w:pStyle w:val="ListParagraph"/>
        <w:numPr>
          <w:ilvl w:val="0"/>
          <w:numId w:val="41"/>
        </w:numPr>
        <w:autoSpaceDE w:val="0"/>
        <w:autoSpaceDN w:val="0"/>
        <w:adjustRightInd w:val="0"/>
        <w:ind w:right="1170"/>
        <w:rPr>
          <w:sz w:val="24"/>
          <w:szCs w:val="24"/>
        </w:rPr>
      </w:pPr>
      <w:r>
        <w:rPr>
          <w:sz w:val="24"/>
          <w:szCs w:val="24"/>
        </w:rPr>
        <w:t>TILA Disclosure for Section 32 Mortgages</w:t>
      </w:r>
    </w:p>
    <w:p w:rsidR="00FA000F" w:rsidRDefault="00FA000F" w:rsidP="00B16C63">
      <w:pPr>
        <w:autoSpaceDE w:val="0"/>
        <w:autoSpaceDN w:val="0"/>
        <w:adjustRightInd w:val="0"/>
        <w:ind w:left="1080" w:right="1170"/>
        <w:jc w:val="center"/>
        <w:rPr>
          <w:rFonts w:ascii="Humnst777 Lt BT" w:hAnsi="Humnst777 Lt BT"/>
          <w:color w:val="E36C0A" w:themeColor="accent6" w:themeShade="BF"/>
          <w:sz w:val="56"/>
          <w:szCs w:val="56"/>
        </w:rPr>
      </w:pPr>
    </w:p>
    <w:p w:rsidR="000E1709" w:rsidRDefault="00FA000F">
      <w:pPr>
        <w:tabs>
          <w:tab w:val="left" w:pos="9650"/>
        </w:tabs>
        <w:rPr>
          <w:rFonts w:ascii="Humnst777 Lt BT" w:hAnsi="Humnst777 Lt BT"/>
          <w:sz w:val="56"/>
          <w:szCs w:val="56"/>
        </w:rPr>
      </w:pPr>
      <w:r>
        <w:rPr>
          <w:rFonts w:ascii="Humnst777 Lt BT" w:hAnsi="Humnst777 Lt BT"/>
          <w:sz w:val="56"/>
          <w:szCs w:val="56"/>
        </w:rPr>
        <w:tab/>
      </w:r>
    </w:p>
    <w:p w:rsidR="000E1709" w:rsidRDefault="000E1709">
      <w:pPr>
        <w:rPr>
          <w:rFonts w:ascii="Humnst777 Lt BT" w:hAnsi="Humnst777 Lt BT"/>
          <w:sz w:val="56"/>
          <w:szCs w:val="56"/>
        </w:rPr>
      </w:pPr>
    </w:p>
    <w:p w:rsidR="00403861" w:rsidRPr="00403861" w:rsidRDefault="00403861">
      <w:pPr>
        <w:rPr>
          <w:rFonts w:ascii="Humnst777 Lt BT" w:hAnsi="Humnst777 Lt BT"/>
          <w:sz w:val="56"/>
          <w:szCs w:val="56"/>
        </w:rPr>
        <w:sectPr w:rsidR="00403861" w:rsidRPr="00403861" w:rsidSect="00491C63">
          <w:headerReference w:type="default" r:id="rId16"/>
          <w:pgSz w:w="12240" w:h="15840"/>
          <w:pgMar w:top="1440" w:right="720" w:bottom="1440" w:left="720" w:header="720" w:footer="720" w:gutter="0"/>
          <w:cols w:space="720"/>
          <w:docGrid w:linePitch="360"/>
        </w:sectPr>
      </w:pPr>
    </w:p>
    <w:p w:rsidR="00B50679" w:rsidRPr="00F63060" w:rsidRDefault="009D5ED2" w:rsidP="00AF7B92">
      <w:pPr>
        <w:pStyle w:val="Heading1"/>
        <w:rPr>
          <w:szCs w:val="36"/>
        </w:rPr>
      </w:pPr>
      <w:bookmarkStart w:id="0" w:name="_Toc393811619"/>
      <w:r w:rsidRPr="00F63060">
        <w:lastRenderedPageBreak/>
        <w:t>Introduction</w:t>
      </w:r>
      <w:r w:rsidR="00F63060" w:rsidRPr="00F63060">
        <w:t xml:space="preserve"> and TILA </w:t>
      </w:r>
      <w:r w:rsidR="00B16C63" w:rsidRPr="00F63060">
        <w:t>Overview</w:t>
      </w:r>
      <w:r w:rsidR="00F63060">
        <w:rPr>
          <w:rStyle w:val="FootnoteReference"/>
        </w:rPr>
        <w:footnoteReference w:id="1"/>
      </w:r>
      <w:bookmarkEnd w:id="0"/>
    </w:p>
    <w:p w:rsidR="00B16C63" w:rsidRPr="00F63060" w:rsidRDefault="00B16C63" w:rsidP="00F63060">
      <w:pPr>
        <w:pStyle w:val="Heading2"/>
      </w:pPr>
      <w:bookmarkStart w:id="1" w:name="_Toc393811620"/>
      <w:r w:rsidRPr="00F63060">
        <w:t>Introduction to TILA, HOEPA and MDIA</w:t>
      </w:r>
      <w:bookmarkEnd w:id="1"/>
    </w:p>
    <w:p w:rsidR="00B16C63" w:rsidRDefault="00B16C63" w:rsidP="00B16C63">
      <w:pPr>
        <w:autoSpaceDE w:val="0"/>
        <w:autoSpaceDN w:val="0"/>
        <w:adjustRightInd w:val="0"/>
        <w:ind w:left="1080" w:right="1170"/>
        <w:jc w:val="both"/>
        <w:rPr>
          <w:sz w:val="24"/>
          <w:szCs w:val="24"/>
        </w:rPr>
      </w:pPr>
      <w:r w:rsidRPr="00B16C63">
        <w:rPr>
          <w:sz w:val="24"/>
          <w:szCs w:val="24"/>
        </w:rPr>
        <w:t xml:space="preserve">In this course, we are going to cover the Truth </w:t>
      </w:r>
      <w:proofErr w:type="gramStart"/>
      <w:r w:rsidRPr="00B16C63">
        <w:rPr>
          <w:sz w:val="24"/>
          <w:szCs w:val="24"/>
        </w:rPr>
        <w:t>In</w:t>
      </w:r>
      <w:proofErr w:type="gramEnd"/>
      <w:r w:rsidRPr="00B16C63">
        <w:rPr>
          <w:sz w:val="24"/>
          <w:szCs w:val="24"/>
        </w:rPr>
        <w:t xml:space="preserve"> Lending Act.  Along with any discussion of TILA, there are several important amendments.  One that we will spend a fair amount of time on is HOEPA.  We have also included updates resulting from MDIA.</w:t>
      </w:r>
    </w:p>
    <w:p w:rsidR="00B16C63" w:rsidRPr="00B16C63" w:rsidRDefault="00B16C63" w:rsidP="00B16C63">
      <w:pPr>
        <w:autoSpaceDE w:val="0"/>
        <w:autoSpaceDN w:val="0"/>
        <w:adjustRightInd w:val="0"/>
        <w:ind w:left="1080" w:right="1170"/>
        <w:rPr>
          <w:sz w:val="24"/>
          <w:szCs w:val="24"/>
        </w:rPr>
      </w:pPr>
    </w:p>
    <w:p w:rsidR="00902744" w:rsidRDefault="00B16C63" w:rsidP="00B16C63">
      <w:pPr>
        <w:autoSpaceDE w:val="0"/>
        <w:autoSpaceDN w:val="0"/>
        <w:adjustRightInd w:val="0"/>
        <w:ind w:left="1080" w:right="1170"/>
        <w:jc w:val="both"/>
        <w:rPr>
          <w:sz w:val="24"/>
          <w:szCs w:val="24"/>
        </w:rPr>
      </w:pPr>
      <w:r w:rsidRPr="00B16C63">
        <w:rPr>
          <w:sz w:val="24"/>
          <w:szCs w:val="24"/>
        </w:rPr>
        <w:t>Knowing TILA well will be critical for your business with regards to regulators, litigation and reputational challenges.  The main TILA components included here are:</w:t>
      </w:r>
    </w:p>
    <w:p w:rsidR="00B16C63" w:rsidRDefault="00B16C63" w:rsidP="00B16C63">
      <w:pPr>
        <w:autoSpaceDE w:val="0"/>
        <w:autoSpaceDN w:val="0"/>
        <w:adjustRightInd w:val="0"/>
        <w:ind w:left="1080" w:right="1170"/>
        <w:rPr>
          <w:sz w:val="24"/>
          <w:szCs w:val="24"/>
        </w:rPr>
      </w:pPr>
    </w:p>
    <w:p w:rsidR="00B16C63" w:rsidRPr="00B16C63" w:rsidRDefault="00B16C63" w:rsidP="005212C7">
      <w:pPr>
        <w:pStyle w:val="ListParagraph"/>
        <w:numPr>
          <w:ilvl w:val="0"/>
          <w:numId w:val="11"/>
        </w:numPr>
        <w:autoSpaceDE w:val="0"/>
        <w:autoSpaceDN w:val="0"/>
        <w:adjustRightInd w:val="0"/>
        <w:ind w:right="1170"/>
        <w:jc w:val="both"/>
        <w:rPr>
          <w:sz w:val="24"/>
          <w:szCs w:val="24"/>
        </w:rPr>
      </w:pPr>
      <w:r w:rsidRPr="00B16C63">
        <w:rPr>
          <w:b/>
          <w:sz w:val="24"/>
          <w:szCs w:val="24"/>
        </w:rPr>
        <w:t>TILA</w:t>
      </w:r>
      <w:r w:rsidRPr="00B16C63">
        <w:rPr>
          <w:sz w:val="24"/>
          <w:szCs w:val="24"/>
        </w:rPr>
        <w:t xml:space="preserve"> – </w:t>
      </w:r>
      <w:r w:rsidR="00657BA9" w:rsidRPr="00657BA9">
        <w:rPr>
          <w:i/>
          <w:sz w:val="24"/>
          <w:szCs w:val="24"/>
        </w:rPr>
        <w:t>Truth in Lending Act (enacted in 1968, implemented by Reg. Z</w:t>
      </w:r>
      <w:r w:rsidRPr="00B16C63">
        <w:rPr>
          <w:sz w:val="24"/>
          <w:szCs w:val="24"/>
        </w:rPr>
        <w:t xml:space="preserve">).  </w:t>
      </w:r>
    </w:p>
    <w:p w:rsidR="00B16C63" w:rsidRPr="004C4476" w:rsidRDefault="00B16C63" w:rsidP="00800DEB">
      <w:pPr>
        <w:autoSpaceDE w:val="0"/>
        <w:autoSpaceDN w:val="0"/>
        <w:adjustRightInd w:val="0"/>
        <w:ind w:left="1440" w:right="1170"/>
        <w:jc w:val="both"/>
        <w:rPr>
          <w:rFonts w:asciiTheme="minorHAnsi" w:hAnsiTheme="minorHAnsi"/>
          <w:sz w:val="24"/>
          <w:szCs w:val="24"/>
        </w:rPr>
      </w:pPr>
      <w:proofErr w:type="gramStart"/>
      <w:r w:rsidRPr="00B16C63">
        <w:rPr>
          <w:sz w:val="24"/>
          <w:szCs w:val="24"/>
        </w:rPr>
        <w:t>Establishes requirements for creditors to disclose loan terms, such as the APR and various finance charges.</w:t>
      </w:r>
      <w:proofErr w:type="gramEnd"/>
      <w:r w:rsidRPr="00B16C63">
        <w:rPr>
          <w:sz w:val="24"/>
          <w:szCs w:val="24"/>
        </w:rPr>
        <w:t xml:space="preserve">  </w:t>
      </w:r>
      <w:proofErr w:type="gramStart"/>
      <w:r w:rsidRPr="00B16C63">
        <w:rPr>
          <w:sz w:val="24"/>
          <w:szCs w:val="24"/>
        </w:rPr>
        <w:t>Provides guidance on advertising and rescission.</w:t>
      </w:r>
      <w:proofErr w:type="gramEnd"/>
      <w:r w:rsidRPr="00B16C63">
        <w:rPr>
          <w:sz w:val="24"/>
          <w:szCs w:val="24"/>
        </w:rPr>
        <w:t xml:space="preserve">  Imposes restrictions on specific types of mortgages, including </w:t>
      </w:r>
      <w:r w:rsidR="004C4476" w:rsidRPr="00B16C63">
        <w:rPr>
          <w:sz w:val="24"/>
          <w:szCs w:val="24"/>
        </w:rPr>
        <w:t>adjustable</w:t>
      </w:r>
      <w:r w:rsidR="004C4476">
        <w:rPr>
          <w:sz w:val="24"/>
          <w:szCs w:val="24"/>
        </w:rPr>
        <w:t>-</w:t>
      </w:r>
      <w:r w:rsidRPr="00B16C63">
        <w:rPr>
          <w:sz w:val="24"/>
          <w:szCs w:val="24"/>
        </w:rPr>
        <w:t>rate mortgages, reverse mortgages, and HELOCs</w:t>
      </w:r>
      <w:r w:rsidR="001E1D0D" w:rsidRPr="001E1D0D">
        <w:rPr>
          <w:rFonts w:asciiTheme="minorHAnsi" w:hAnsiTheme="minorHAnsi"/>
          <w:sz w:val="24"/>
          <w:szCs w:val="24"/>
        </w:rPr>
        <w:t xml:space="preserve">. </w:t>
      </w:r>
      <w:proofErr w:type="gramStart"/>
      <w:r w:rsidR="001E1D0D" w:rsidRPr="001E1D0D">
        <w:rPr>
          <w:rFonts w:asciiTheme="minorHAnsi" w:hAnsiTheme="minorHAnsi"/>
          <w:sz w:val="24"/>
          <w:szCs w:val="24"/>
        </w:rPr>
        <w:t>P</w:t>
      </w:r>
      <w:r w:rsidR="001E1D0D" w:rsidRPr="001E1D0D">
        <w:rPr>
          <w:rFonts w:asciiTheme="minorHAnsi" w:hAnsiTheme="minorHAnsi" w:cs="Arial"/>
          <w:color w:val="000000"/>
          <w:sz w:val="24"/>
          <w:szCs w:val="24"/>
        </w:rPr>
        <w:t>rohibits certain practices relating to payments made to compensate mortgage brokers and other loan originators</w:t>
      </w:r>
      <w:r w:rsidR="004C4476">
        <w:rPr>
          <w:rFonts w:asciiTheme="minorHAnsi" w:hAnsiTheme="minorHAnsi" w:cs="Arial"/>
          <w:color w:val="000000"/>
          <w:sz w:val="24"/>
          <w:szCs w:val="24"/>
        </w:rPr>
        <w:t>.</w:t>
      </w:r>
      <w:proofErr w:type="gramEnd"/>
    </w:p>
    <w:p w:rsidR="000E1709" w:rsidRDefault="00B16C63">
      <w:pPr>
        <w:autoSpaceDE w:val="0"/>
        <w:autoSpaceDN w:val="0"/>
        <w:adjustRightInd w:val="0"/>
        <w:ind w:left="1440" w:right="1170"/>
        <w:jc w:val="both"/>
        <w:rPr>
          <w:sz w:val="24"/>
          <w:szCs w:val="24"/>
        </w:rPr>
      </w:pPr>
      <w:r w:rsidRPr="00B16C63">
        <w:rPr>
          <w:sz w:val="24"/>
          <w:szCs w:val="24"/>
        </w:rPr>
        <w:t>TILA will be the topic for the first section of this course.</w:t>
      </w:r>
    </w:p>
    <w:p w:rsidR="009D2DBD" w:rsidRPr="00800DEB" w:rsidRDefault="009D2DBD" w:rsidP="00902744">
      <w:pPr>
        <w:autoSpaceDE w:val="0"/>
        <w:autoSpaceDN w:val="0"/>
        <w:adjustRightInd w:val="0"/>
        <w:ind w:left="1080" w:right="1170"/>
        <w:rPr>
          <w:b/>
          <w:sz w:val="24"/>
          <w:szCs w:val="24"/>
        </w:rPr>
      </w:pPr>
    </w:p>
    <w:p w:rsidR="00800DEB" w:rsidRPr="00800DEB" w:rsidRDefault="00800DEB" w:rsidP="00800DEB">
      <w:pPr>
        <w:autoSpaceDE w:val="0"/>
        <w:autoSpaceDN w:val="0"/>
        <w:adjustRightInd w:val="0"/>
        <w:ind w:left="1440" w:right="1170"/>
        <w:jc w:val="both"/>
        <w:rPr>
          <w:sz w:val="24"/>
          <w:szCs w:val="24"/>
        </w:rPr>
      </w:pPr>
      <w:r w:rsidRPr="00800DEB">
        <w:rPr>
          <w:b/>
          <w:sz w:val="24"/>
          <w:szCs w:val="24"/>
        </w:rPr>
        <w:t>2. HOEPA</w:t>
      </w:r>
      <w:r w:rsidRPr="00800DEB">
        <w:rPr>
          <w:sz w:val="24"/>
          <w:szCs w:val="24"/>
        </w:rPr>
        <w:t xml:space="preserve"> - </w:t>
      </w:r>
      <w:r w:rsidRPr="00B927CB">
        <w:rPr>
          <w:i/>
          <w:sz w:val="24"/>
          <w:szCs w:val="24"/>
        </w:rPr>
        <w:t>Home Ownership and Equity Protection Act (an amendment to TILA - enacted in 1994, significantly updated in 2008 and</w:t>
      </w:r>
      <w:r w:rsidR="006229A1">
        <w:rPr>
          <w:i/>
          <w:sz w:val="24"/>
          <w:szCs w:val="24"/>
        </w:rPr>
        <w:t xml:space="preserve"> 2014, it is</w:t>
      </w:r>
      <w:r w:rsidRPr="00B927CB">
        <w:rPr>
          <w:i/>
          <w:sz w:val="24"/>
          <w:szCs w:val="24"/>
        </w:rPr>
        <w:t xml:space="preserve"> implemented by Reg</w:t>
      </w:r>
      <w:r w:rsidR="00CC237D">
        <w:rPr>
          <w:i/>
          <w:sz w:val="24"/>
          <w:szCs w:val="24"/>
        </w:rPr>
        <w:t>.</w:t>
      </w:r>
      <w:r w:rsidRPr="00B927CB">
        <w:rPr>
          <w:i/>
          <w:sz w:val="24"/>
          <w:szCs w:val="24"/>
        </w:rPr>
        <w:t xml:space="preserve"> Z).</w:t>
      </w:r>
      <w:r w:rsidRPr="00800DEB">
        <w:rPr>
          <w:sz w:val="24"/>
          <w:szCs w:val="24"/>
        </w:rPr>
        <w:t xml:space="preserve">  </w:t>
      </w:r>
      <w:proofErr w:type="gramStart"/>
      <w:r w:rsidRPr="00800DEB">
        <w:rPr>
          <w:sz w:val="24"/>
          <w:szCs w:val="24"/>
        </w:rPr>
        <w:t>Provides special protections for consumers who obtain high-rate or high-fee mortgages such as prohibiting predatory lending and certain servicing practices</w:t>
      </w:r>
      <w:r w:rsidR="004C4476">
        <w:rPr>
          <w:sz w:val="24"/>
          <w:szCs w:val="24"/>
        </w:rPr>
        <w:t>.</w:t>
      </w:r>
      <w:proofErr w:type="gramEnd"/>
    </w:p>
    <w:p w:rsidR="00800DEB" w:rsidRPr="00800DEB" w:rsidRDefault="00800DEB" w:rsidP="00800DEB">
      <w:pPr>
        <w:autoSpaceDE w:val="0"/>
        <w:autoSpaceDN w:val="0"/>
        <w:adjustRightInd w:val="0"/>
        <w:ind w:left="1440" w:right="1170"/>
        <w:jc w:val="both"/>
        <w:rPr>
          <w:sz w:val="24"/>
          <w:szCs w:val="24"/>
        </w:rPr>
      </w:pPr>
      <w:r w:rsidRPr="00800DEB">
        <w:rPr>
          <w:sz w:val="24"/>
          <w:szCs w:val="24"/>
        </w:rPr>
        <w:t xml:space="preserve">We will discuss HOEPA in </w:t>
      </w:r>
      <w:r w:rsidR="006229A1">
        <w:rPr>
          <w:sz w:val="24"/>
          <w:szCs w:val="24"/>
        </w:rPr>
        <w:t>the</w:t>
      </w:r>
      <w:r w:rsidRPr="00800DEB">
        <w:rPr>
          <w:sz w:val="24"/>
          <w:szCs w:val="24"/>
        </w:rPr>
        <w:t xml:space="preserve"> second section of this course.</w:t>
      </w:r>
    </w:p>
    <w:p w:rsidR="00800DEB" w:rsidRPr="00800DEB" w:rsidRDefault="00800DEB" w:rsidP="00800DEB">
      <w:pPr>
        <w:autoSpaceDE w:val="0"/>
        <w:autoSpaceDN w:val="0"/>
        <w:adjustRightInd w:val="0"/>
        <w:ind w:left="1440" w:right="1170"/>
        <w:jc w:val="both"/>
        <w:rPr>
          <w:sz w:val="24"/>
          <w:szCs w:val="24"/>
        </w:rPr>
      </w:pPr>
    </w:p>
    <w:p w:rsidR="00800DEB" w:rsidRDefault="00800DEB" w:rsidP="00800DEB">
      <w:pPr>
        <w:autoSpaceDE w:val="0"/>
        <w:autoSpaceDN w:val="0"/>
        <w:adjustRightInd w:val="0"/>
        <w:ind w:left="1440" w:right="1170"/>
        <w:jc w:val="both"/>
        <w:rPr>
          <w:sz w:val="24"/>
          <w:szCs w:val="24"/>
        </w:rPr>
      </w:pPr>
      <w:r w:rsidRPr="00800DEB">
        <w:rPr>
          <w:b/>
          <w:sz w:val="24"/>
          <w:szCs w:val="24"/>
        </w:rPr>
        <w:t>3. MDIA</w:t>
      </w:r>
      <w:r w:rsidRPr="00800DEB">
        <w:rPr>
          <w:sz w:val="24"/>
          <w:szCs w:val="24"/>
        </w:rPr>
        <w:t xml:space="preserve"> – </w:t>
      </w:r>
      <w:r w:rsidRPr="00B927CB">
        <w:rPr>
          <w:i/>
          <w:sz w:val="24"/>
          <w:szCs w:val="24"/>
        </w:rPr>
        <w:t xml:space="preserve">Mortgage Disclosure Improvement Act (an amendment to TILA - enacted in July 2008 effective </w:t>
      </w:r>
      <w:r w:rsidR="004C4476">
        <w:rPr>
          <w:i/>
          <w:sz w:val="24"/>
          <w:szCs w:val="24"/>
        </w:rPr>
        <w:t>from July 30,</w:t>
      </w:r>
      <w:r w:rsidRPr="00B927CB">
        <w:rPr>
          <w:i/>
          <w:sz w:val="24"/>
          <w:szCs w:val="24"/>
        </w:rPr>
        <w:t xml:space="preserve"> 2009).</w:t>
      </w:r>
      <w:r w:rsidRPr="00800DEB">
        <w:rPr>
          <w:sz w:val="24"/>
          <w:szCs w:val="24"/>
        </w:rPr>
        <w:t xml:space="preserve">  Requires that refinance transactions be covered by TILA early disclosure guidelines.  Requires that </w:t>
      </w:r>
      <w:r w:rsidR="004C4476">
        <w:rPr>
          <w:sz w:val="24"/>
          <w:szCs w:val="24"/>
        </w:rPr>
        <w:t>creditors wait 7 business days after they provide</w:t>
      </w:r>
      <w:r w:rsidRPr="00800DEB">
        <w:rPr>
          <w:sz w:val="24"/>
          <w:szCs w:val="24"/>
        </w:rPr>
        <w:t xml:space="preserve"> the early TIL disclosure</w:t>
      </w:r>
      <w:r w:rsidR="004C4476">
        <w:rPr>
          <w:sz w:val="24"/>
          <w:szCs w:val="24"/>
        </w:rPr>
        <w:t>s</w:t>
      </w:r>
      <w:r w:rsidRPr="00800DEB">
        <w:rPr>
          <w:sz w:val="24"/>
          <w:szCs w:val="24"/>
        </w:rPr>
        <w:t xml:space="preserve"> (</w:t>
      </w:r>
      <w:r w:rsidR="00732835">
        <w:rPr>
          <w:sz w:val="24"/>
          <w:szCs w:val="24"/>
        </w:rPr>
        <w:t xml:space="preserve">either </w:t>
      </w:r>
      <w:r w:rsidR="006229A1">
        <w:rPr>
          <w:sz w:val="24"/>
          <w:szCs w:val="24"/>
        </w:rPr>
        <w:t>electronic</w:t>
      </w:r>
      <w:r w:rsidR="00732835">
        <w:rPr>
          <w:sz w:val="24"/>
          <w:szCs w:val="24"/>
        </w:rPr>
        <w:t>ally or</w:t>
      </w:r>
      <w:r w:rsidR="006229A1">
        <w:rPr>
          <w:sz w:val="24"/>
          <w:szCs w:val="24"/>
        </w:rPr>
        <w:t xml:space="preserve"> </w:t>
      </w:r>
      <w:r w:rsidR="00732835">
        <w:rPr>
          <w:sz w:val="24"/>
          <w:szCs w:val="24"/>
        </w:rPr>
        <w:t xml:space="preserve">by </w:t>
      </w:r>
      <w:r w:rsidR="004C4476">
        <w:rPr>
          <w:sz w:val="24"/>
          <w:szCs w:val="24"/>
        </w:rPr>
        <w:t>mail, fax</w:t>
      </w:r>
      <w:r w:rsidRPr="00800DEB">
        <w:rPr>
          <w:sz w:val="24"/>
          <w:szCs w:val="24"/>
        </w:rPr>
        <w:t xml:space="preserve"> etc.) to the borrower</w:t>
      </w:r>
      <w:r w:rsidR="004C4476">
        <w:rPr>
          <w:sz w:val="24"/>
          <w:szCs w:val="24"/>
        </w:rPr>
        <w:t xml:space="preserve"> before closing the loan</w:t>
      </w:r>
      <w:r w:rsidRPr="00800DEB">
        <w:rPr>
          <w:sz w:val="24"/>
          <w:szCs w:val="24"/>
        </w:rPr>
        <w:t>.</w:t>
      </w:r>
    </w:p>
    <w:p w:rsidR="00800DEB" w:rsidRPr="00800DEB" w:rsidRDefault="00800DEB" w:rsidP="00800DEB">
      <w:pPr>
        <w:autoSpaceDE w:val="0"/>
        <w:autoSpaceDN w:val="0"/>
        <w:adjustRightInd w:val="0"/>
        <w:ind w:left="1440" w:right="1170"/>
        <w:jc w:val="both"/>
        <w:rPr>
          <w:sz w:val="24"/>
          <w:szCs w:val="24"/>
        </w:rPr>
      </w:pPr>
    </w:p>
    <w:p w:rsidR="00800DEB" w:rsidRDefault="00800DEB" w:rsidP="00800DEB">
      <w:pPr>
        <w:autoSpaceDE w:val="0"/>
        <w:autoSpaceDN w:val="0"/>
        <w:adjustRightInd w:val="0"/>
        <w:ind w:left="1440" w:right="1170"/>
        <w:jc w:val="both"/>
        <w:rPr>
          <w:i/>
          <w:sz w:val="24"/>
          <w:szCs w:val="24"/>
        </w:rPr>
      </w:pPr>
      <w:r w:rsidRPr="00B927CB">
        <w:rPr>
          <w:i/>
          <w:sz w:val="24"/>
          <w:szCs w:val="24"/>
        </w:rPr>
        <w:t>We will not have a separate section on MDIA but will instead incorporate it into our other discussions.</w:t>
      </w:r>
    </w:p>
    <w:p w:rsidR="00B927CB" w:rsidRDefault="00B927CB" w:rsidP="00800DEB">
      <w:pPr>
        <w:autoSpaceDE w:val="0"/>
        <w:autoSpaceDN w:val="0"/>
        <w:adjustRightInd w:val="0"/>
        <w:ind w:left="1440" w:right="1170"/>
        <w:jc w:val="both"/>
        <w:rPr>
          <w:i/>
          <w:sz w:val="24"/>
          <w:szCs w:val="24"/>
        </w:rPr>
      </w:pPr>
    </w:p>
    <w:p w:rsidR="00B927CB" w:rsidRPr="00B927CB" w:rsidRDefault="00B927CB" w:rsidP="00B927CB">
      <w:pPr>
        <w:autoSpaceDE w:val="0"/>
        <w:autoSpaceDN w:val="0"/>
        <w:adjustRightInd w:val="0"/>
        <w:ind w:left="1080" w:right="1170"/>
        <w:jc w:val="both"/>
        <w:rPr>
          <w:sz w:val="24"/>
          <w:szCs w:val="24"/>
        </w:rPr>
      </w:pPr>
    </w:p>
    <w:p w:rsidR="00B927CB" w:rsidRDefault="00B927CB" w:rsidP="00B927CB">
      <w:pPr>
        <w:autoSpaceDE w:val="0"/>
        <w:autoSpaceDN w:val="0"/>
        <w:adjustRightInd w:val="0"/>
        <w:ind w:left="1080" w:right="1170"/>
        <w:jc w:val="both"/>
        <w:rPr>
          <w:sz w:val="24"/>
          <w:szCs w:val="24"/>
        </w:rPr>
      </w:pPr>
      <w:r w:rsidRPr="00B927CB">
        <w:rPr>
          <w:sz w:val="24"/>
          <w:szCs w:val="24"/>
        </w:rPr>
        <w:t xml:space="preserve">Though TILA was introduced in 1968, it has been amended many times to incorporate new ways to protect borrowers.  Many times, the amendments </w:t>
      </w:r>
      <w:r w:rsidR="004C4476">
        <w:rPr>
          <w:sz w:val="24"/>
          <w:szCs w:val="24"/>
        </w:rPr>
        <w:t xml:space="preserve">were the </w:t>
      </w:r>
      <w:r w:rsidRPr="00B927CB">
        <w:rPr>
          <w:sz w:val="24"/>
          <w:szCs w:val="24"/>
        </w:rPr>
        <w:t xml:space="preserve">result </w:t>
      </w:r>
      <w:r w:rsidR="004C4476">
        <w:rPr>
          <w:sz w:val="24"/>
          <w:szCs w:val="24"/>
        </w:rPr>
        <w:t>of</w:t>
      </w:r>
      <w:r w:rsidR="004C4476" w:rsidRPr="00B927CB">
        <w:rPr>
          <w:sz w:val="24"/>
          <w:szCs w:val="24"/>
        </w:rPr>
        <w:t xml:space="preserve"> </w:t>
      </w:r>
      <w:r w:rsidR="004C4476" w:rsidRPr="00B927CB">
        <w:rPr>
          <w:sz w:val="24"/>
          <w:szCs w:val="24"/>
        </w:rPr>
        <w:lastRenderedPageBreak/>
        <w:t>newly</w:t>
      </w:r>
      <w:r w:rsidR="004C4476">
        <w:rPr>
          <w:sz w:val="24"/>
          <w:szCs w:val="24"/>
        </w:rPr>
        <w:t>-</w:t>
      </w:r>
      <w:r w:rsidRPr="00B927CB">
        <w:rPr>
          <w:sz w:val="24"/>
          <w:szCs w:val="24"/>
        </w:rPr>
        <w:t>developed unethical practices that negatively impact</w:t>
      </w:r>
      <w:r w:rsidR="004C4476">
        <w:rPr>
          <w:sz w:val="24"/>
          <w:szCs w:val="24"/>
        </w:rPr>
        <w:t>ed</w:t>
      </w:r>
      <w:r w:rsidRPr="00B927CB">
        <w:rPr>
          <w:sz w:val="24"/>
          <w:szCs w:val="24"/>
        </w:rPr>
        <w:t xml:space="preserve"> consumers. </w:t>
      </w:r>
      <w:r w:rsidR="001F1BFA">
        <w:rPr>
          <w:sz w:val="24"/>
          <w:szCs w:val="24"/>
        </w:rPr>
        <w:t xml:space="preserve"> </w:t>
      </w:r>
      <w:r w:rsidR="00B87ACD">
        <w:rPr>
          <w:sz w:val="24"/>
          <w:szCs w:val="24"/>
        </w:rPr>
        <w:t xml:space="preserve">The most recent amendments came about because of industry practices that took advantage of or abused consumers. The Dodd-Frank Act identified these abusive practices and gave the Consumer Financial </w:t>
      </w:r>
      <w:r w:rsidR="00371C6E">
        <w:rPr>
          <w:sz w:val="24"/>
          <w:szCs w:val="24"/>
        </w:rPr>
        <w:t>P</w:t>
      </w:r>
      <w:r w:rsidR="00B87ACD">
        <w:rPr>
          <w:sz w:val="24"/>
          <w:szCs w:val="24"/>
        </w:rPr>
        <w:t xml:space="preserve">rotection Bureau the responsibility to finalize and implement specific mortgage industry rules. </w:t>
      </w:r>
    </w:p>
    <w:p w:rsidR="00371C6E" w:rsidRDefault="00371C6E" w:rsidP="00371C6E">
      <w:pPr>
        <w:spacing w:before="75" w:after="150" w:line="360" w:lineRule="auto"/>
        <w:rPr>
          <w:rFonts w:ascii="Arial" w:hAnsi="Arial"/>
        </w:rPr>
      </w:pPr>
    </w:p>
    <w:p w:rsidR="00371C6E" w:rsidRPr="00035A9F" w:rsidRDefault="00371C6E" w:rsidP="00371C6E">
      <w:pPr>
        <w:autoSpaceDE w:val="0"/>
        <w:autoSpaceDN w:val="0"/>
        <w:adjustRightInd w:val="0"/>
        <w:ind w:left="1080" w:right="1170"/>
        <w:jc w:val="both"/>
        <w:rPr>
          <w:rFonts w:asciiTheme="minorHAnsi" w:hAnsiTheme="minorHAnsi" w:cstheme="minorHAnsi"/>
          <w:color w:val="365F91" w:themeColor="accent1" w:themeShade="BF"/>
          <w:sz w:val="24"/>
          <w:szCs w:val="24"/>
        </w:rPr>
      </w:pPr>
      <w:r>
        <w:rPr>
          <w:sz w:val="24"/>
          <w:szCs w:val="24"/>
        </w:rPr>
        <w:t xml:space="preserve">There are several new rules that were </w:t>
      </w:r>
      <w:r w:rsidR="001F189A">
        <w:rPr>
          <w:sz w:val="24"/>
          <w:szCs w:val="24"/>
        </w:rPr>
        <w:t xml:space="preserve">finalized throughout 2013 and </w:t>
      </w:r>
      <w:r>
        <w:rPr>
          <w:sz w:val="24"/>
          <w:szCs w:val="24"/>
        </w:rPr>
        <w:t xml:space="preserve">implemented in January 2014. These new rules expand definitions and create new required actions.  Remember that you must stay current on all new laws and regulations. Go to </w:t>
      </w:r>
      <w:hyperlink r:id="rId17" w:history="1">
        <w:r w:rsidRPr="00B3090D">
          <w:rPr>
            <w:rStyle w:val="Hyperlink"/>
            <w:sz w:val="24"/>
            <w:szCs w:val="24"/>
          </w:rPr>
          <w:t>http://www.consumerfinance.gov/regulations/</w:t>
        </w:r>
      </w:hyperlink>
      <w:r>
        <w:rPr>
          <w:sz w:val="24"/>
          <w:szCs w:val="24"/>
        </w:rPr>
        <w:t xml:space="preserve"> to check on new regulations.  </w:t>
      </w:r>
    </w:p>
    <w:p w:rsidR="00371C6E" w:rsidRPr="00B927CB" w:rsidRDefault="00371C6E" w:rsidP="00B927CB">
      <w:pPr>
        <w:autoSpaceDE w:val="0"/>
        <w:autoSpaceDN w:val="0"/>
        <w:adjustRightInd w:val="0"/>
        <w:ind w:left="1080" w:right="1170"/>
        <w:jc w:val="both"/>
        <w:rPr>
          <w:sz w:val="24"/>
          <w:szCs w:val="24"/>
        </w:rPr>
      </w:pPr>
    </w:p>
    <w:p w:rsidR="00371C6E" w:rsidRDefault="00371C6E" w:rsidP="00B927CB">
      <w:pPr>
        <w:autoSpaceDE w:val="0"/>
        <w:autoSpaceDN w:val="0"/>
        <w:adjustRightInd w:val="0"/>
        <w:ind w:left="1440" w:right="1170"/>
        <w:jc w:val="both"/>
        <w:rPr>
          <w:rFonts w:ascii="Arial" w:hAnsi="Arial"/>
        </w:rPr>
      </w:pPr>
    </w:p>
    <w:p w:rsidR="000005C7" w:rsidRDefault="00612BEB" w:rsidP="00F63060">
      <w:pPr>
        <w:pStyle w:val="Heading2"/>
      </w:pPr>
      <w:bookmarkStart w:id="2" w:name="_Toc393811621"/>
      <w:r w:rsidRPr="00612BEB">
        <w:t xml:space="preserve">Truth </w:t>
      </w:r>
      <w:r w:rsidR="00626EFC">
        <w:t>In</w:t>
      </w:r>
      <w:r w:rsidR="00626EFC" w:rsidRPr="00612BEB">
        <w:t xml:space="preserve"> </w:t>
      </w:r>
      <w:r w:rsidRPr="00612BEB">
        <w:t>Lending Act Overview</w:t>
      </w:r>
      <w:bookmarkEnd w:id="2"/>
    </w:p>
    <w:p w:rsidR="000A3C3B" w:rsidRDefault="00612BEB" w:rsidP="0075434E">
      <w:pPr>
        <w:autoSpaceDE w:val="0"/>
        <w:autoSpaceDN w:val="0"/>
        <w:adjustRightInd w:val="0"/>
        <w:ind w:left="1080" w:right="1170"/>
        <w:jc w:val="both"/>
        <w:rPr>
          <w:sz w:val="24"/>
          <w:szCs w:val="24"/>
        </w:rPr>
      </w:pPr>
      <w:r w:rsidRPr="00612BEB">
        <w:rPr>
          <w:sz w:val="24"/>
          <w:szCs w:val="24"/>
        </w:rPr>
        <w:t xml:space="preserve">The Truth </w:t>
      </w:r>
      <w:proofErr w:type="gramStart"/>
      <w:r w:rsidRPr="00612BEB">
        <w:rPr>
          <w:sz w:val="24"/>
          <w:szCs w:val="24"/>
        </w:rPr>
        <w:t>In</w:t>
      </w:r>
      <w:proofErr w:type="gramEnd"/>
      <w:r w:rsidRPr="00612BEB">
        <w:rPr>
          <w:sz w:val="24"/>
          <w:szCs w:val="24"/>
        </w:rPr>
        <w:t xml:space="preserve"> Lending Act (“TILA”) was enacted in May 1968 as Title 1 of the Consumer Protection Act (CPA). TILA, as implemented by regulation Z, became effective in July of 1969.  It is the most important US consumer protection law with regard to borrowing.  It protects consumers' interest by requiring correct and sufficient disclosure of lending terms and costs on most types of consumer credit, including mortgage loans, auto loans, and credit card borrowing.  The full Truth </w:t>
      </w:r>
      <w:proofErr w:type="gramStart"/>
      <w:r w:rsidRPr="00612BEB">
        <w:rPr>
          <w:sz w:val="24"/>
          <w:szCs w:val="24"/>
        </w:rPr>
        <w:t>In</w:t>
      </w:r>
      <w:proofErr w:type="gramEnd"/>
      <w:r w:rsidRPr="00612BEB">
        <w:rPr>
          <w:sz w:val="24"/>
          <w:szCs w:val="24"/>
        </w:rPr>
        <w:t xml:space="preserve"> Lending Act can be reviewed </w:t>
      </w:r>
      <w:r w:rsidR="00F116B4">
        <w:rPr>
          <w:sz w:val="24"/>
          <w:szCs w:val="24"/>
        </w:rPr>
        <w:t>in the Electronic Code of Federal Regulations database (</w:t>
      </w:r>
      <w:r w:rsidR="004C4476">
        <w:rPr>
          <w:sz w:val="24"/>
          <w:szCs w:val="24"/>
        </w:rPr>
        <w:t>ecfr.gov</w:t>
      </w:r>
      <w:r w:rsidR="00F116B4">
        <w:rPr>
          <w:sz w:val="24"/>
          <w:szCs w:val="24"/>
        </w:rPr>
        <w:t>) as Title 12, Part 1026</w:t>
      </w:r>
      <w:r w:rsidR="00755F14">
        <w:rPr>
          <w:sz w:val="24"/>
          <w:szCs w:val="24"/>
        </w:rPr>
        <w:t>.</w:t>
      </w:r>
      <w:r w:rsidR="00F623A5">
        <w:rPr>
          <w:rStyle w:val="FootnoteReference"/>
          <w:sz w:val="24"/>
          <w:szCs w:val="24"/>
        </w:rPr>
        <w:footnoteReference w:id="2"/>
      </w:r>
    </w:p>
    <w:p w:rsidR="00F116B4" w:rsidRDefault="00F116B4" w:rsidP="00F116B4">
      <w:pPr>
        <w:autoSpaceDE w:val="0"/>
        <w:autoSpaceDN w:val="0"/>
        <w:adjustRightInd w:val="0"/>
        <w:ind w:right="1170"/>
        <w:jc w:val="both"/>
        <w:rPr>
          <w:sz w:val="24"/>
          <w:szCs w:val="24"/>
        </w:rPr>
      </w:pPr>
    </w:p>
    <w:p w:rsidR="00612BEB" w:rsidRDefault="00612BEB" w:rsidP="00612BEB">
      <w:pPr>
        <w:autoSpaceDE w:val="0"/>
        <w:autoSpaceDN w:val="0"/>
        <w:adjustRightInd w:val="0"/>
        <w:ind w:left="1080" w:right="1170"/>
        <w:jc w:val="both"/>
        <w:rPr>
          <w:sz w:val="24"/>
          <w:szCs w:val="24"/>
        </w:rPr>
      </w:pPr>
      <w:r w:rsidRPr="00612BEB">
        <w:rPr>
          <w:sz w:val="24"/>
          <w:szCs w:val="24"/>
        </w:rPr>
        <w:t>There have been many amendments and additions made to TILA. Two of the most notable amendments include the Home Equity Loan Consumer Protection Act of 1988, and the Home Ownership and Equity Protection Act of 1994 (HOEPA).</w:t>
      </w:r>
    </w:p>
    <w:p w:rsidR="00A543AB" w:rsidRDefault="00A543AB" w:rsidP="00612BEB">
      <w:pPr>
        <w:autoSpaceDE w:val="0"/>
        <w:autoSpaceDN w:val="0"/>
        <w:adjustRightInd w:val="0"/>
        <w:ind w:left="1080" w:right="1170"/>
        <w:jc w:val="both"/>
        <w:rPr>
          <w:sz w:val="24"/>
          <w:szCs w:val="24"/>
        </w:rPr>
      </w:pPr>
    </w:p>
    <w:p w:rsidR="00853893" w:rsidRDefault="005745A0" w:rsidP="00960249">
      <w:pPr>
        <w:autoSpaceDE w:val="0"/>
        <w:autoSpaceDN w:val="0"/>
        <w:adjustRightInd w:val="0"/>
        <w:ind w:left="1440" w:right="1170"/>
        <w:jc w:val="both"/>
        <w:rPr>
          <w:sz w:val="24"/>
          <w:szCs w:val="24"/>
        </w:rPr>
      </w:pPr>
      <w:r>
        <w:rPr>
          <w:sz w:val="24"/>
          <w:szCs w:val="24"/>
        </w:rPr>
        <w:t>T</w:t>
      </w:r>
      <w:r w:rsidR="00853893" w:rsidRPr="00853893">
        <w:rPr>
          <w:sz w:val="24"/>
          <w:szCs w:val="24"/>
        </w:rPr>
        <w:t>he Mortgage Disclosure Improvement Act (MDIA)</w:t>
      </w:r>
      <w:r>
        <w:rPr>
          <w:sz w:val="24"/>
          <w:szCs w:val="24"/>
        </w:rPr>
        <w:t xml:space="preserve"> was enacted in 2008</w:t>
      </w:r>
      <w:r w:rsidR="00853893" w:rsidRPr="00853893">
        <w:rPr>
          <w:sz w:val="24"/>
          <w:szCs w:val="24"/>
        </w:rPr>
        <w:t xml:space="preserve">.  MDIA expands the TILA disclosure arrangement to cover refinance transactions.  </w:t>
      </w:r>
    </w:p>
    <w:p w:rsidR="00853893" w:rsidRPr="00853893" w:rsidRDefault="00853893" w:rsidP="00960249">
      <w:pPr>
        <w:autoSpaceDE w:val="0"/>
        <w:autoSpaceDN w:val="0"/>
        <w:adjustRightInd w:val="0"/>
        <w:ind w:left="1440" w:right="1170"/>
        <w:jc w:val="both"/>
        <w:rPr>
          <w:sz w:val="24"/>
          <w:szCs w:val="24"/>
        </w:rPr>
      </w:pPr>
    </w:p>
    <w:p w:rsidR="00A543AB" w:rsidRPr="00612BEB" w:rsidRDefault="00853893" w:rsidP="00960249">
      <w:pPr>
        <w:autoSpaceDE w:val="0"/>
        <w:autoSpaceDN w:val="0"/>
        <w:adjustRightInd w:val="0"/>
        <w:ind w:left="1440" w:right="1170"/>
        <w:jc w:val="both"/>
        <w:rPr>
          <w:sz w:val="24"/>
          <w:szCs w:val="24"/>
        </w:rPr>
      </w:pPr>
      <w:r w:rsidRPr="00853893">
        <w:rPr>
          <w:sz w:val="24"/>
          <w:szCs w:val="24"/>
        </w:rPr>
        <w:t xml:space="preserve">MDIA also requires that the early Truth </w:t>
      </w:r>
      <w:proofErr w:type="gramStart"/>
      <w:r w:rsidRPr="00853893">
        <w:rPr>
          <w:sz w:val="24"/>
          <w:szCs w:val="24"/>
        </w:rPr>
        <w:t>In</w:t>
      </w:r>
      <w:proofErr w:type="gramEnd"/>
      <w:r w:rsidRPr="00853893">
        <w:rPr>
          <w:sz w:val="24"/>
          <w:szCs w:val="24"/>
        </w:rPr>
        <w:t xml:space="preserve"> Lending disclosure be provided by the mortgage loan originator to the borrower no later than 7 business days before closing.  Additionally, when the APR is outside of allowable tolerances, MDIA requires the MLO to provide a revised disclosure at least 3 business days before closing.  In both cases, MDIA defines </w:t>
      </w:r>
      <w:r w:rsidR="00CE2D4D">
        <w:rPr>
          <w:sz w:val="24"/>
          <w:szCs w:val="24"/>
        </w:rPr>
        <w:t>‘</w:t>
      </w:r>
      <w:r w:rsidRPr="00853893">
        <w:rPr>
          <w:sz w:val="24"/>
          <w:szCs w:val="24"/>
        </w:rPr>
        <w:t>Provided</w:t>
      </w:r>
      <w:r w:rsidR="00CE2D4D">
        <w:rPr>
          <w:sz w:val="24"/>
          <w:szCs w:val="24"/>
        </w:rPr>
        <w:t>’</w:t>
      </w:r>
      <w:r w:rsidR="00CE2D4D" w:rsidRPr="00853893">
        <w:rPr>
          <w:sz w:val="24"/>
          <w:szCs w:val="24"/>
        </w:rPr>
        <w:t xml:space="preserve"> </w:t>
      </w:r>
      <w:r w:rsidRPr="00853893">
        <w:rPr>
          <w:sz w:val="24"/>
          <w:szCs w:val="24"/>
        </w:rPr>
        <w:t>to mean that the disclosure must be hand-delivered or mailed, and the deadlines above apply to when the envelope is postmarked.</w:t>
      </w:r>
    </w:p>
    <w:p w:rsidR="00612BEB" w:rsidRPr="00612BEB" w:rsidRDefault="00612BEB" w:rsidP="00612BEB">
      <w:pPr>
        <w:autoSpaceDE w:val="0"/>
        <w:autoSpaceDN w:val="0"/>
        <w:adjustRightInd w:val="0"/>
        <w:ind w:left="1080" w:right="1170"/>
        <w:jc w:val="both"/>
        <w:rPr>
          <w:sz w:val="24"/>
          <w:szCs w:val="24"/>
        </w:rPr>
      </w:pPr>
    </w:p>
    <w:p w:rsidR="00960249" w:rsidRDefault="00960249">
      <w:pPr>
        <w:rPr>
          <w:sz w:val="24"/>
          <w:szCs w:val="24"/>
        </w:rPr>
      </w:pPr>
    </w:p>
    <w:p w:rsidR="00BC64C5" w:rsidRDefault="00960249" w:rsidP="00F63060">
      <w:pPr>
        <w:pStyle w:val="Heading2"/>
      </w:pPr>
      <w:bookmarkStart w:id="4" w:name="_Toc393811622"/>
      <w:r w:rsidRPr="00960249">
        <w:t>Summary of Purpose of TILA and Reg</w:t>
      </w:r>
      <w:r w:rsidR="004C4476">
        <w:t>.</w:t>
      </w:r>
      <w:r w:rsidRPr="00960249">
        <w:t xml:space="preserve"> Z</w:t>
      </w:r>
      <w:bookmarkEnd w:id="4"/>
    </w:p>
    <w:p w:rsidR="00960249" w:rsidRDefault="00960249" w:rsidP="00960249">
      <w:pPr>
        <w:autoSpaceDE w:val="0"/>
        <w:autoSpaceDN w:val="0"/>
        <w:adjustRightInd w:val="0"/>
        <w:ind w:left="1080" w:right="1170"/>
        <w:jc w:val="both"/>
        <w:rPr>
          <w:sz w:val="24"/>
          <w:szCs w:val="24"/>
        </w:rPr>
      </w:pPr>
    </w:p>
    <w:p w:rsidR="00960249" w:rsidRDefault="00960249" w:rsidP="00960249">
      <w:pPr>
        <w:autoSpaceDE w:val="0"/>
        <w:autoSpaceDN w:val="0"/>
        <w:adjustRightInd w:val="0"/>
        <w:ind w:left="1080" w:right="1170"/>
        <w:jc w:val="both"/>
        <w:rPr>
          <w:sz w:val="24"/>
          <w:szCs w:val="24"/>
        </w:rPr>
      </w:pPr>
      <w:r w:rsidRPr="00960249">
        <w:rPr>
          <w:sz w:val="24"/>
          <w:szCs w:val="24"/>
        </w:rPr>
        <w:t>1)</w:t>
      </w:r>
      <w:r w:rsidRPr="00960249">
        <w:rPr>
          <w:sz w:val="24"/>
          <w:szCs w:val="24"/>
        </w:rPr>
        <w:tab/>
        <w:t>Ensure proper disclosures. All mortgage loan originators must present data in the same manner to all consumers. They must also use consistent terms and language so that consumers can easily compare one offer from one creditor against a similar offer from another creditor.  TILA is not meant to restrict how much the mortgage loan originator charges each mortgagor but to ensure that sufficient and reliable information is provided to consumers so that they can make an informed decision when shopping for credit.</w:t>
      </w:r>
    </w:p>
    <w:p w:rsidR="00960249" w:rsidRDefault="00960249" w:rsidP="009B79A7">
      <w:pPr>
        <w:autoSpaceDE w:val="0"/>
        <w:autoSpaceDN w:val="0"/>
        <w:adjustRightInd w:val="0"/>
        <w:ind w:left="1080" w:right="1170"/>
        <w:jc w:val="both"/>
        <w:rPr>
          <w:sz w:val="24"/>
          <w:szCs w:val="24"/>
        </w:rPr>
      </w:pPr>
    </w:p>
    <w:p w:rsidR="00960249" w:rsidRDefault="00960249" w:rsidP="009B79A7">
      <w:pPr>
        <w:autoSpaceDE w:val="0"/>
        <w:autoSpaceDN w:val="0"/>
        <w:adjustRightInd w:val="0"/>
        <w:ind w:left="1080" w:right="1170"/>
        <w:jc w:val="both"/>
        <w:rPr>
          <w:sz w:val="24"/>
          <w:szCs w:val="24"/>
        </w:rPr>
      </w:pPr>
      <w:r w:rsidRPr="00960249">
        <w:rPr>
          <w:sz w:val="24"/>
          <w:szCs w:val="24"/>
        </w:rPr>
        <w:t>2)</w:t>
      </w:r>
      <w:r w:rsidRPr="00960249">
        <w:rPr>
          <w:sz w:val="24"/>
          <w:szCs w:val="24"/>
        </w:rPr>
        <w:tab/>
        <w:t>Enforce specific prohibitions. For certain home equity line</w:t>
      </w:r>
      <w:r w:rsidR="00CE2D4D">
        <w:rPr>
          <w:sz w:val="24"/>
          <w:szCs w:val="24"/>
        </w:rPr>
        <w:t>s</w:t>
      </w:r>
      <w:r w:rsidRPr="00960249">
        <w:rPr>
          <w:sz w:val="24"/>
          <w:szCs w:val="24"/>
        </w:rPr>
        <w:t xml:space="preserve"> of credits, </w:t>
      </w:r>
      <w:r w:rsidR="004C4476" w:rsidRPr="00960249">
        <w:rPr>
          <w:sz w:val="24"/>
          <w:szCs w:val="24"/>
        </w:rPr>
        <w:t>adjustable</w:t>
      </w:r>
      <w:r w:rsidR="004C4476">
        <w:rPr>
          <w:sz w:val="24"/>
          <w:szCs w:val="24"/>
        </w:rPr>
        <w:t>-</w:t>
      </w:r>
      <w:r w:rsidRPr="00960249">
        <w:rPr>
          <w:sz w:val="24"/>
          <w:szCs w:val="24"/>
        </w:rPr>
        <w:t xml:space="preserve">rate mortgages, mortgages with high interest rates and reverse mortgages, the government imposes additional limitations.  </w:t>
      </w:r>
    </w:p>
    <w:p w:rsidR="00960249" w:rsidRDefault="00960249" w:rsidP="009B79A7">
      <w:pPr>
        <w:autoSpaceDE w:val="0"/>
        <w:autoSpaceDN w:val="0"/>
        <w:adjustRightInd w:val="0"/>
        <w:ind w:left="1080" w:right="1170"/>
        <w:jc w:val="both"/>
        <w:rPr>
          <w:sz w:val="24"/>
          <w:szCs w:val="24"/>
        </w:rPr>
      </w:pPr>
    </w:p>
    <w:p w:rsidR="00960249" w:rsidRDefault="00960249" w:rsidP="00F63060">
      <w:pPr>
        <w:pStyle w:val="Heading2"/>
      </w:pPr>
      <w:bookmarkStart w:id="5" w:name="_Toc393811623"/>
      <w:r w:rsidRPr="00960249">
        <w:t>TILA Index</w:t>
      </w:r>
      <w:bookmarkEnd w:id="5"/>
    </w:p>
    <w:p w:rsidR="00960249" w:rsidRDefault="00960249" w:rsidP="009B79A7">
      <w:pPr>
        <w:pStyle w:val="ListParagraph"/>
        <w:autoSpaceDE w:val="0"/>
        <w:autoSpaceDN w:val="0"/>
        <w:adjustRightInd w:val="0"/>
        <w:ind w:left="1080" w:right="1170"/>
        <w:jc w:val="both"/>
        <w:rPr>
          <w:sz w:val="24"/>
          <w:szCs w:val="24"/>
        </w:rPr>
      </w:pPr>
      <w:r w:rsidRPr="00960249">
        <w:rPr>
          <w:sz w:val="24"/>
          <w:szCs w:val="24"/>
        </w:rPr>
        <w:t xml:space="preserve">The Truth </w:t>
      </w:r>
      <w:proofErr w:type="gramStart"/>
      <w:r w:rsidRPr="00960249">
        <w:rPr>
          <w:sz w:val="24"/>
          <w:szCs w:val="24"/>
        </w:rPr>
        <w:t>In</w:t>
      </w:r>
      <w:proofErr w:type="gramEnd"/>
      <w:r w:rsidRPr="00960249">
        <w:rPr>
          <w:sz w:val="24"/>
          <w:szCs w:val="24"/>
        </w:rPr>
        <w:t xml:space="preserve"> Lending Act (TILA) is structured in subparts A through E: </w:t>
      </w:r>
    </w:p>
    <w:p w:rsidR="009B79A7" w:rsidRPr="00960249" w:rsidRDefault="009B79A7" w:rsidP="009B79A7">
      <w:pPr>
        <w:pStyle w:val="ListParagraph"/>
        <w:autoSpaceDE w:val="0"/>
        <w:autoSpaceDN w:val="0"/>
        <w:adjustRightInd w:val="0"/>
        <w:ind w:left="1080" w:right="1170"/>
        <w:jc w:val="both"/>
        <w:rPr>
          <w:sz w:val="24"/>
          <w:szCs w:val="24"/>
        </w:rPr>
      </w:pPr>
    </w:p>
    <w:p w:rsidR="00AF7B92" w:rsidRDefault="00960249" w:rsidP="00AF7B92">
      <w:pPr>
        <w:pStyle w:val="Heading3"/>
      </w:pPr>
      <w:r w:rsidRPr="009B79A7">
        <w:t>Subpart A</w:t>
      </w:r>
      <w:r w:rsidRPr="00960249">
        <w:t xml:space="preserve">. </w:t>
      </w:r>
    </w:p>
    <w:p w:rsidR="00960249" w:rsidRDefault="00960249" w:rsidP="009B79A7">
      <w:pPr>
        <w:pStyle w:val="ListParagraph"/>
        <w:autoSpaceDE w:val="0"/>
        <w:autoSpaceDN w:val="0"/>
        <w:adjustRightInd w:val="0"/>
        <w:ind w:left="1080" w:right="1170"/>
        <w:jc w:val="both"/>
        <w:rPr>
          <w:sz w:val="24"/>
          <w:szCs w:val="24"/>
        </w:rPr>
      </w:pPr>
      <w:proofErr w:type="gramStart"/>
      <w:r w:rsidRPr="00960249">
        <w:rPr>
          <w:sz w:val="24"/>
          <w:szCs w:val="24"/>
        </w:rPr>
        <w:t>Contains generic information about the purpose and organization of the Federal TILA, some basic definitions, the method for cost calculation and certain exempt transactions.</w:t>
      </w:r>
      <w:proofErr w:type="gramEnd"/>
      <w:r w:rsidRPr="00960249">
        <w:rPr>
          <w:sz w:val="24"/>
          <w:szCs w:val="24"/>
        </w:rPr>
        <w:t xml:space="preserve">  It discusses the method of determining the finance charge (</w:t>
      </w:r>
      <w:r w:rsidR="00F623A5">
        <w:rPr>
          <w:sz w:val="24"/>
          <w:szCs w:val="24"/>
        </w:rPr>
        <w:t>1026</w:t>
      </w:r>
      <w:r w:rsidRPr="00960249">
        <w:rPr>
          <w:sz w:val="24"/>
          <w:szCs w:val="24"/>
        </w:rPr>
        <w:t>.1-4).</w:t>
      </w:r>
    </w:p>
    <w:p w:rsidR="009B79A7" w:rsidRPr="00960249" w:rsidRDefault="009B79A7" w:rsidP="009B79A7">
      <w:pPr>
        <w:pStyle w:val="ListParagraph"/>
        <w:autoSpaceDE w:val="0"/>
        <w:autoSpaceDN w:val="0"/>
        <w:adjustRightInd w:val="0"/>
        <w:ind w:left="1080" w:right="1170"/>
        <w:jc w:val="both"/>
        <w:rPr>
          <w:sz w:val="24"/>
          <w:szCs w:val="24"/>
        </w:rPr>
      </w:pPr>
    </w:p>
    <w:p w:rsidR="00AF7B92" w:rsidRDefault="00960249" w:rsidP="00AF7B92">
      <w:pPr>
        <w:pStyle w:val="Heading3"/>
      </w:pPr>
      <w:r w:rsidRPr="009B79A7">
        <w:t>Subpart B</w:t>
      </w:r>
      <w:r w:rsidRPr="00960249">
        <w:t xml:space="preserve">. </w:t>
      </w:r>
    </w:p>
    <w:p w:rsidR="00960249" w:rsidRDefault="00960249" w:rsidP="009B79A7">
      <w:pPr>
        <w:pStyle w:val="ListParagraph"/>
        <w:autoSpaceDE w:val="0"/>
        <w:autoSpaceDN w:val="0"/>
        <w:adjustRightInd w:val="0"/>
        <w:ind w:left="1080" w:right="1170"/>
        <w:jc w:val="both"/>
        <w:rPr>
          <w:sz w:val="24"/>
          <w:szCs w:val="24"/>
        </w:rPr>
      </w:pPr>
      <w:proofErr w:type="gramStart"/>
      <w:r w:rsidRPr="00960249">
        <w:rPr>
          <w:sz w:val="24"/>
          <w:szCs w:val="24"/>
        </w:rPr>
        <w:t>Establishes rules for open-end credit such as Home Equity Lines of Credit (HELOCs).</w:t>
      </w:r>
      <w:proofErr w:type="gramEnd"/>
      <w:r w:rsidRPr="00960249">
        <w:rPr>
          <w:sz w:val="24"/>
          <w:szCs w:val="24"/>
        </w:rPr>
        <w:t xml:space="preserve"> It requires that initial disclosures and periodic statements be provided and it specifies rules for advertising and rescission (</w:t>
      </w:r>
      <w:r w:rsidR="00F623A5">
        <w:rPr>
          <w:sz w:val="24"/>
          <w:szCs w:val="24"/>
        </w:rPr>
        <w:t>1026</w:t>
      </w:r>
      <w:r w:rsidRPr="00960249">
        <w:rPr>
          <w:sz w:val="24"/>
          <w:szCs w:val="24"/>
        </w:rPr>
        <w:t>.5</w:t>
      </w:r>
      <w:r w:rsidR="004C4476">
        <w:rPr>
          <w:sz w:val="24"/>
          <w:szCs w:val="24"/>
        </w:rPr>
        <w:t>-</w:t>
      </w:r>
      <w:r w:rsidRPr="00960249">
        <w:rPr>
          <w:sz w:val="24"/>
          <w:szCs w:val="24"/>
        </w:rPr>
        <w:t>16).</w:t>
      </w:r>
    </w:p>
    <w:p w:rsidR="009B79A7" w:rsidRPr="00960249" w:rsidRDefault="009B79A7" w:rsidP="009B79A7">
      <w:pPr>
        <w:pStyle w:val="ListParagraph"/>
        <w:autoSpaceDE w:val="0"/>
        <w:autoSpaceDN w:val="0"/>
        <w:adjustRightInd w:val="0"/>
        <w:ind w:left="1080" w:right="1170"/>
        <w:jc w:val="both"/>
        <w:rPr>
          <w:sz w:val="24"/>
          <w:szCs w:val="24"/>
        </w:rPr>
      </w:pPr>
    </w:p>
    <w:p w:rsidR="00AF7B92" w:rsidRDefault="00960249" w:rsidP="00AF7B92">
      <w:pPr>
        <w:pStyle w:val="Heading3"/>
      </w:pPr>
      <w:r w:rsidRPr="009B79A7">
        <w:t>Subpart C</w:t>
      </w:r>
      <w:r w:rsidRPr="00960249">
        <w:t xml:space="preserve">. </w:t>
      </w:r>
    </w:p>
    <w:p w:rsidR="00960249" w:rsidRPr="009B79A7" w:rsidRDefault="00960249" w:rsidP="009B79A7">
      <w:pPr>
        <w:pStyle w:val="ListParagraph"/>
        <w:autoSpaceDE w:val="0"/>
        <w:autoSpaceDN w:val="0"/>
        <w:adjustRightInd w:val="0"/>
        <w:ind w:left="1080" w:right="1170"/>
        <w:jc w:val="both"/>
        <w:rPr>
          <w:b/>
          <w:sz w:val="24"/>
          <w:szCs w:val="24"/>
        </w:rPr>
      </w:pPr>
      <w:proofErr w:type="gramStart"/>
      <w:r w:rsidRPr="00960249">
        <w:rPr>
          <w:sz w:val="24"/>
          <w:szCs w:val="24"/>
        </w:rPr>
        <w:t>Covers closed-end credit - essentially first and second mortgage and Home Equity Loans (HELs).</w:t>
      </w:r>
      <w:proofErr w:type="gramEnd"/>
      <w:r w:rsidRPr="00960249">
        <w:rPr>
          <w:sz w:val="24"/>
          <w:szCs w:val="24"/>
        </w:rPr>
        <w:t xml:space="preserve">  It contains rules on initial disclosures, treatment of credit balances, annual percentage rate calculations, rescission requirements, and advertising. </w:t>
      </w:r>
      <w:r w:rsidR="008E564C">
        <w:rPr>
          <w:sz w:val="24"/>
          <w:szCs w:val="24"/>
        </w:rPr>
        <w:t xml:space="preserve"> </w:t>
      </w:r>
      <w:r w:rsidRPr="009B79A7">
        <w:rPr>
          <w:b/>
          <w:sz w:val="24"/>
          <w:szCs w:val="24"/>
        </w:rPr>
        <w:t xml:space="preserve">MDIA amendments are mostly found in this section </w:t>
      </w:r>
      <w:r w:rsidRPr="009B79A7">
        <w:rPr>
          <w:sz w:val="24"/>
          <w:szCs w:val="24"/>
        </w:rPr>
        <w:t>(</w:t>
      </w:r>
      <w:r w:rsidR="00F623A5">
        <w:rPr>
          <w:sz w:val="24"/>
          <w:szCs w:val="24"/>
        </w:rPr>
        <w:t>1026</w:t>
      </w:r>
      <w:r w:rsidRPr="009B79A7">
        <w:rPr>
          <w:sz w:val="24"/>
          <w:szCs w:val="24"/>
        </w:rPr>
        <w:t>.17-24).</w:t>
      </w:r>
    </w:p>
    <w:p w:rsidR="009B79A7" w:rsidRPr="00960249" w:rsidRDefault="009B79A7" w:rsidP="009B79A7">
      <w:pPr>
        <w:pStyle w:val="ListParagraph"/>
        <w:autoSpaceDE w:val="0"/>
        <w:autoSpaceDN w:val="0"/>
        <w:adjustRightInd w:val="0"/>
        <w:ind w:left="1080" w:right="1170"/>
        <w:jc w:val="both"/>
        <w:rPr>
          <w:sz w:val="24"/>
          <w:szCs w:val="24"/>
        </w:rPr>
      </w:pPr>
    </w:p>
    <w:p w:rsidR="00AF7B92" w:rsidRDefault="00960249" w:rsidP="00AF7B92">
      <w:pPr>
        <w:pStyle w:val="Heading3"/>
      </w:pPr>
      <w:proofErr w:type="gramStart"/>
      <w:r w:rsidRPr="009B79A7">
        <w:t>Subpart D</w:t>
      </w:r>
      <w:r w:rsidRPr="00960249">
        <w:t>.</w:t>
      </w:r>
      <w:proofErr w:type="gramEnd"/>
      <w:r w:rsidRPr="00960249">
        <w:t xml:space="preserve"> </w:t>
      </w:r>
    </w:p>
    <w:p w:rsidR="00960249" w:rsidRDefault="00960249" w:rsidP="009B79A7">
      <w:pPr>
        <w:pStyle w:val="ListParagraph"/>
        <w:autoSpaceDE w:val="0"/>
        <w:autoSpaceDN w:val="0"/>
        <w:adjustRightInd w:val="0"/>
        <w:ind w:left="1080" w:right="1170"/>
        <w:jc w:val="both"/>
        <w:rPr>
          <w:sz w:val="24"/>
          <w:szCs w:val="24"/>
        </w:rPr>
      </w:pPr>
      <w:proofErr w:type="gramStart"/>
      <w:r w:rsidRPr="00960249">
        <w:rPr>
          <w:sz w:val="24"/>
          <w:szCs w:val="24"/>
        </w:rPr>
        <w:lastRenderedPageBreak/>
        <w:t>Contains regulations for oral and other-than-English language disclosures plus older consumer credit protection state laws.</w:t>
      </w:r>
      <w:proofErr w:type="gramEnd"/>
      <w:r w:rsidRPr="00960249">
        <w:rPr>
          <w:sz w:val="24"/>
          <w:szCs w:val="24"/>
        </w:rPr>
        <w:t xml:space="preserve"> Subpart D is not covered in this lesson; </w:t>
      </w:r>
      <w:r w:rsidR="00F623A5">
        <w:rPr>
          <w:sz w:val="24"/>
          <w:szCs w:val="24"/>
        </w:rPr>
        <w:t>1026</w:t>
      </w:r>
      <w:r w:rsidRPr="00960249">
        <w:rPr>
          <w:sz w:val="24"/>
          <w:szCs w:val="24"/>
        </w:rPr>
        <w:t>.25-30</w:t>
      </w:r>
      <w:r w:rsidR="008E564C">
        <w:rPr>
          <w:sz w:val="24"/>
          <w:szCs w:val="24"/>
        </w:rPr>
        <w:t>.</w:t>
      </w:r>
    </w:p>
    <w:p w:rsidR="009B79A7" w:rsidRPr="00960249" w:rsidRDefault="009B79A7" w:rsidP="009B79A7">
      <w:pPr>
        <w:pStyle w:val="ListParagraph"/>
        <w:autoSpaceDE w:val="0"/>
        <w:autoSpaceDN w:val="0"/>
        <w:adjustRightInd w:val="0"/>
        <w:ind w:left="1080" w:right="1170"/>
        <w:jc w:val="both"/>
        <w:rPr>
          <w:sz w:val="24"/>
          <w:szCs w:val="24"/>
        </w:rPr>
      </w:pPr>
    </w:p>
    <w:p w:rsidR="00AF7B92" w:rsidRDefault="00960249" w:rsidP="00AF7B92">
      <w:pPr>
        <w:pStyle w:val="Heading3"/>
      </w:pPr>
      <w:r w:rsidRPr="009B79A7">
        <w:t>Subpart E</w:t>
      </w:r>
      <w:r w:rsidRPr="00960249">
        <w:t>.</w:t>
      </w:r>
    </w:p>
    <w:p w:rsidR="00960249" w:rsidRPr="00D55E3A" w:rsidRDefault="00960249" w:rsidP="009B79A7">
      <w:pPr>
        <w:pStyle w:val="ListParagraph"/>
        <w:autoSpaceDE w:val="0"/>
        <w:autoSpaceDN w:val="0"/>
        <w:adjustRightInd w:val="0"/>
        <w:ind w:left="1080" w:right="1170"/>
        <w:jc w:val="both"/>
        <w:rPr>
          <w:sz w:val="24"/>
          <w:szCs w:val="24"/>
        </w:rPr>
      </w:pPr>
      <w:r w:rsidRPr="00960249">
        <w:rPr>
          <w:sz w:val="24"/>
          <w:szCs w:val="24"/>
        </w:rPr>
        <w:t xml:space="preserve"> </w:t>
      </w:r>
      <w:r w:rsidRPr="009B79A7">
        <w:rPr>
          <w:b/>
          <w:sz w:val="24"/>
          <w:szCs w:val="24"/>
        </w:rPr>
        <w:t>HOEPA amendments are mostly found in this section.</w:t>
      </w:r>
      <w:r w:rsidR="00D55E3A" w:rsidRPr="00D55E3A">
        <w:rPr>
          <w:sz w:val="24"/>
          <w:szCs w:val="24"/>
        </w:rPr>
        <w:t xml:space="preserve">  Subpart E contains special rules for mortgage transactions. Section </w:t>
      </w:r>
      <w:r w:rsidR="00F623A5">
        <w:rPr>
          <w:sz w:val="24"/>
          <w:szCs w:val="24"/>
        </w:rPr>
        <w:t>1026</w:t>
      </w:r>
      <w:r w:rsidR="00D55E3A" w:rsidRPr="00D55E3A">
        <w:rPr>
          <w:sz w:val="24"/>
          <w:szCs w:val="24"/>
        </w:rPr>
        <w:t xml:space="preserve">.32 requires certain disclosures and provides limitations for closed-end loans that have rates or fees above specified amounts. Section </w:t>
      </w:r>
      <w:r w:rsidR="00F623A5">
        <w:rPr>
          <w:sz w:val="24"/>
          <w:szCs w:val="24"/>
        </w:rPr>
        <w:t>1026</w:t>
      </w:r>
      <w:r w:rsidR="00D55E3A" w:rsidRPr="00D55E3A">
        <w:rPr>
          <w:sz w:val="24"/>
          <w:szCs w:val="24"/>
        </w:rPr>
        <w:t xml:space="preserve">.33 requires special disclosures, including the total annual loan cost rate for reverse mortgage transactions. Section </w:t>
      </w:r>
      <w:r w:rsidR="00F623A5">
        <w:rPr>
          <w:sz w:val="24"/>
          <w:szCs w:val="24"/>
        </w:rPr>
        <w:t>1026</w:t>
      </w:r>
      <w:r w:rsidR="00D55E3A" w:rsidRPr="00D55E3A">
        <w:rPr>
          <w:sz w:val="24"/>
          <w:szCs w:val="24"/>
        </w:rPr>
        <w:t xml:space="preserve">.34 prohibits specific acts and practices in connection with closed-end mortgage transactions that are subject to § </w:t>
      </w:r>
      <w:r w:rsidR="00F623A5">
        <w:rPr>
          <w:sz w:val="24"/>
          <w:szCs w:val="24"/>
        </w:rPr>
        <w:t>1026</w:t>
      </w:r>
      <w:r w:rsidR="00D55E3A" w:rsidRPr="00D55E3A">
        <w:rPr>
          <w:sz w:val="24"/>
          <w:szCs w:val="24"/>
        </w:rPr>
        <w:t xml:space="preserve">.32. Section </w:t>
      </w:r>
      <w:r w:rsidR="00F623A5">
        <w:rPr>
          <w:sz w:val="24"/>
          <w:szCs w:val="24"/>
        </w:rPr>
        <w:t>1026</w:t>
      </w:r>
      <w:r w:rsidR="00D55E3A" w:rsidRPr="00D55E3A">
        <w:rPr>
          <w:sz w:val="24"/>
          <w:szCs w:val="24"/>
        </w:rPr>
        <w:t xml:space="preserve">.35 prohibits specific acts and practices in connection with closed-end higher-priced mortgage loans, as defined in § </w:t>
      </w:r>
      <w:r w:rsidR="00F623A5">
        <w:rPr>
          <w:sz w:val="24"/>
          <w:szCs w:val="24"/>
        </w:rPr>
        <w:t>1026</w:t>
      </w:r>
      <w:r w:rsidR="00D55E3A" w:rsidRPr="00D55E3A">
        <w:rPr>
          <w:sz w:val="24"/>
          <w:szCs w:val="24"/>
        </w:rPr>
        <w:t xml:space="preserve">.35(a). Section </w:t>
      </w:r>
      <w:r w:rsidR="00F623A5">
        <w:rPr>
          <w:sz w:val="24"/>
          <w:szCs w:val="24"/>
        </w:rPr>
        <w:t>1026</w:t>
      </w:r>
      <w:r w:rsidR="00D55E3A" w:rsidRPr="00D55E3A">
        <w:rPr>
          <w:sz w:val="24"/>
          <w:szCs w:val="24"/>
        </w:rPr>
        <w:t>.36 prohibits specific acts and practices in connection with an extension of credit secured by a dwelling.</w:t>
      </w:r>
    </w:p>
    <w:p w:rsidR="009B79A7" w:rsidRPr="00960249" w:rsidRDefault="009B79A7" w:rsidP="009B79A7">
      <w:pPr>
        <w:pStyle w:val="ListParagraph"/>
        <w:autoSpaceDE w:val="0"/>
        <w:autoSpaceDN w:val="0"/>
        <w:adjustRightInd w:val="0"/>
        <w:ind w:left="1080" w:right="1170"/>
        <w:jc w:val="both"/>
        <w:rPr>
          <w:sz w:val="24"/>
          <w:szCs w:val="24"/>
        </w:rPr>
      </w:pPr>
    </w:p>
    <w:p w:rsidR="00960249" w:rsidRPr="00960249" w:rsidRDefault="00960249" w:rsidP="009B79A7">
      <w:pPr>
        <w:pStyle w:val="ListParagraph"/>
        <w:autoSpaceDE w:val="0"/>
        <w:autoSpaceDN w:val="0"/>
        <w:adjustRightInd w:val="0"/>
        <w:ind w:left="1080" w:right="1170"/>
        <w:jc w:val="both"/>
        <w:rPr>
          <w:sz w:val="24"/>
          <w:szCs w:val="24"/>
        </w:rPr>
      </w:pPr>
      <w:r w:rsidRPr="00960249">
        <w:rPr>
          <w:sz w:val="24"/>
          <w:szCs w:val="24"/>
        </w:rPr>
        <w:t xml:space="preserve">Since many rules are repeated in different sections, we will discuss the important topics of TILA for mortgage loan originators instead of going </w:t>
      </w:r>
      <w:r w:rsidR="004C4476">
        <w:rPr>
          <w:sz w:val="24"/>
          <w:szCs w:val="24"/>
        </w:rPr>
        <w:t xml:space="preserve">through them </w:t>
      </w:r>
      <w:r w:rsidRPr="00960249">
        <w:rPr>
          <w:sz w:val="24"/>
          <w:szCs w:val="24"/>
        </w:rPr>
        <w:t xml:space="preserve">section by section. </w:t>
      </w:r>
    </w:p>
    <w:p w:rsidR="00DE6D2D" w:rsidRDefault="00DE6D2D" w:rsidP="00DE6D2D">
      <w:pPr>
        <w:rPr>
          <w:sz w:val="24"/>
          <w:szCs w:val="24"/>
        </w:rPr>
        <w:sectPr w:rsidR="00DE6D2D" w:rsidSect="00491C63">
          <w:headerReference w:type="default" r:id="rId18"/>
          <w:pgSz w:w="12240" w:h="15840"/>
          <w:pgMar w:top="1440" w:right="720" w:bottom="1440" w:left="720" w:header="720" w:footer="720" w:gutter="0"/>
          <w:cols w:space="720"/>
          <w:docGrid w:linePitch="360"/>
        </w:sectPr>
      </w:pPr>
    </w:p>
    <w:p w:rsidR="00960249" w:rsidRPr="00F63060" w:rsidRDefault="00DE6D2D" w:rsidP="00AF7B92">
      <w:pPr>
        <w:pStyle w:val="Heading1"/>
      </w:pPr>
      <w:bookmarkStart w:id="6" w:name="_Toc393811624"/>
      <w:r w:rsidRPr="00F63060">
        <w:lastRenderedPageBreak/>
        <w:t>APR and Finance Charge Disclosure</w:t>
      </w:r>
      <w:bookmarkEnd w:id="6"/>
    </w:p>
    <w:p w:rsidR="00DE6D2D" w:rsidRDefault="00DE6D2D" w:rsidP="00DE6D2D">
      <w:pPr>
        <w:autoSpaceDE w:val="0"/>
        <w:autoSpaceDN w:val="0"/>
        <w:adjustRightInd w:val="0"/>
        <w:ind w:left="1080" w:right="1170"/>
        <w:jc w:val="both"/>
        <w:rPr>
          <w:sz w:val="24"/>
          <w:szCs w:val="24"/>
        </w:rPr>
      </w:pPr>
      <w:r w:rsidRPr="00DE6D2D">
        <w:rPr>
          <w:sz w:val="24"/>
          <w:szCs w:val="24"/>
        </w:rPr>
        <w:t xml:space="preserve">The most </w:t>
      </w:r>
      <w:r w:rsidR="003A3575" w:rsidRPr="00DE6D2D">
        <w:rPr>
          <w:sz w:val="24"/>
          <w:szCs w:val="24"/>
        </w:rPr>
        <w:t>well</w:t>
      </w:r>
      <w:r w:rsidR="003A3575">
        <w:rPr>
          <w:sz w:val="24"/>
          <w:szCs w:val="24"/>
        </w:rPr>
        <w:t>-</w:t>
      </w:r>
      <w:r w:rsidRPr="00DE6D2D">
        <w:rPr>
          <w:sz w:val="24"/>
          <w:szCs w:val="24"/>
        </w:rPr>
        <w:t xml:space="preserve">known part of TILA is probably the APR disclosure.  In every credit card advertisement, you will see the APR quoted.  TILA is a </w:t>
      </w:r>
      <w:r w:rsidR="004C4476" w:rsidRPr="00DE6D2D">
        <w:rPr>
          <w:sz w:val="24"/>
          <w:szCs w:val="24"/>
        </w:rPr>
        <w:t>broad</w:t>
      </w:r>
      <w:r w:rsidR="004C4476">
        <w:rPr>
          <w:sz w:val="24"/>
          <w:szCs w:val="24"/>
        </w:rPr>
        <w:t>-</w:t>
      </w:r>
      <w:r w:rsidRPr="00DE6D2D">
        <w:rPr>
          <w:sz w:val="24"/>
          <w:szCs w:val="24"/>
        </w:rPr>
        <w:t>reaching law that applies to most credit transactions in the US and all covered transactions need to disclose an APR</w:t>
      </w:r>
      <w:r w:rsidR="00DD18FB">
        <w:rPr>
          <w:sz w:val="24"/>
          <w:szCs w:val="24"/>
        </w:rPr>
        <w:t>.</w:t>
      </w:r>
    </w:p>
    <w:p w:rsidR="00295993" w:rsidRDefault="00295993" w:rsidP="00DE6D2D">
      <w:pPr>
        <w:autoSpaceDE w:val="0"/>
        <w:autoSpaceDN w:val="0"/>
        <w:adjustRightInd w:val="0"/>
        <w:ind w:left="1080" w:right="1170"/>
        <w:jc w:val="both"/>
        <w:rPr>
          <w:sz w:val="24"/>
          <w:szCs w:val="24"/>
        </w:rPr>
      </w:pPr>
    </w:p>
    <w:p w:rsidR="00DE6D2D" w:rsidRDefault="00DE6D2D" w:rsidP="005212C7">
      <w:pPr>
        <w:pStyle w:val="Heading2"/>
        <w:numPr>
          <w:ilvl w:val="0"/>
          <w:numId w:val="71"/>
        </w:numPr>
      </w:pPr>
      <w:bookmarkStart w:id="7" w:name="_Toc393811625"/>
      <w:r w:rsidRPr="00DE6D2D">
        <w:t xml:space="preserve">Annual Percentage Rate (APR) (Part </w:t>
      </w:r>
      <w:r w:rsidR="00F623A5">
        <w:t>1026</w:t>
      </w:r>
      <w:r w:rsidRPr="00DE6D2D">
        <w:t>.14)</w:t>
      </w:r>
      <w:bookmarkEnd w:id="7"/>
    </w:p>
    <w:p w:rsidR="00DE6D2D" w:rsidRDefault="00DE6D2D" w:rsidP="00DE6D2D">
      <w:pPr>
        <w:autoSpaceDE w:val="0"/>
        <w:autoSpaceDN w:val="0"/>
        <w:adjustRightInd w:val="0"/>
        <w:ind w:left="1080" w:right="1170"/>
        <w:jc w:val="both"/>
        <w:rPr>
          <w:sz w:val="24"/>
          <w:szCs w:val="24"/>
        </w:rPr>
      </w:pPr>
      <w:r w:rsidRPr="00DE6D2D">
        <w:rPr>
          <w:sz w:val="24"/>
          <w:szCs w:val="24"/>
        </w:rPr>
        <w:t xml:space="preserve">APR is the acronym for Annual Percentage Rate.  The APR is a rate that takes into account all fees and charges associated with a loan. Unlike the Note Rate which is just the interest rate applied to the unpaid balance of the loan, the APR takes into account associated fees such as origination fees or commissions.  For example, a mortgage may have a </w:t>
      </w:r>
      <w:r w:rsidR="00405CAE">
        <w:rPr>
          <w:sz w:val="24"/>
          <w:szCs w:val="24"/>
        </w:rPr>
        <w:t>5</w:t>
      </w:r>
      <w:r w:rsidRPr="00DE6D2D">
        <w:rPr>
          <w:sz w:val="24"/>
          <w:szCs w:val="24"/>
        </w:rPr>
        <w:t>% interest/note rate but</w:t>
      </w:r>
      <w:r w:rsidR="004C4476">
        <w:rPr>
          <w:sz w:val="24"/>
          <w:szCs w:val="24"/>
        </w:rPr>
        <w:t>,</w:t>
      </w:r>
      <w:r w:rsidRPr="00DE6D2D">
        <w:rPr>
          <w:sz w:val="24"/>
          <w:szCs w:val="24"/>
        </w:rPr>
        <w:t xml:space="preserve"> if the borrower has to pay some fees upfront</w:t>
      </w:r>
      <w:r w:rsidR="004C4476">
        <w:rPr>
          <w:sz w:val="24"/>
          <w:szCs w:val="24"/>
        </w:rPr>
        <w:t>,</w:t>
      </w:r>
      <w:r w:rsidRPr="00DE6D2D">
        <w:rPr>
          <w:sz w:val="24"/>
          <w:szCs w:val="24"/>
        </w:rPr>
        <w:t xml:space="preserve"> then the APR would be higher than </w:t>
      </w:r>
      <w:r w:rsidR="00405CAE">
        <w:rPr>
          <w:sz w:val="24"/>
          <w:szCs w:val="24"/>
        </w:rPr>
        <w:t>5</w:t>
      </w:r>
      <w:r w:rsidRPr="00DE6D2D">
        <w:rPr>
          <w:sz w:val="24"/>
          <w:szCs w:val="24"/>
        </w:rPr>
        <w:t xml:space="preserve">% because the total </w:t>
      </w:r>
      <w:r w:rsidR="00295993">
        <w:rPr>
          <w:sz w:val="24"/>
          <w:szCs w:val="24"/>
        </w:rPr>
        <w:t>rate</w:t>
      </w:r>
      <w:r w:rsidR="00295993" w:rsidRPr="00DE6D2D">
        <w:rPr>
          <w:sz w:val="24"/>
          <w:szCs w:val="24"/>
        </w:rPr>
        <w:t xml:space="preserve"> </w:t>
      </w:r>
      <w:r w:rsidRPr="00DE6D2D">
        <w:rPr>
          <w:sz w:val="24"/>
          <w:szCs w:val="24"/>
        </w:rPr>
        <w:t xml:space="preserve">of the mortgage is higher than 9%.  </w:t>
      </w:r>
      <w:r w:rsidR="00AB0864">
        <w:rPr>
          <w:sz w:val="24"/>
          <w:szCs w:val="24"/>
        </w:rPr>
        <w:t xml:space="preserve"> </w:t>
      </w:r>
      <w:r w:rsidRPr="00DE6D2D">
        <w:rPr>
          <w:sz w:val="24"/>
          <w:szCs w:val="24"/>
        </w:rPr>
        <w:t>The disclosure of APR gives the consumer a full picture of the overall cost of the loan.</w:t>
      </w:r>
    </w:p>
    <w:p w:rsidR="00DE6D2D" w:rsidRDefault="00DE6D2D" w:rsidP="00DE6D2D">
      <w:pPr>
        <w:autoSpaceDE w:val="0"/>
        <w:autoSpaceDN w:val="0"/>
        <w:adjustRightInd w:val="0"/>
        <w:ind w:left="1080" w:right="1170"/>
        <w:jc w:val="both"/>
        <w:rPr>
          <w:sz w:val="24"/>
          <w:szCs w:val="24"/>
        </w:rPr>
      </w:pPr>
    </w:p>
    <w:p w:rsidR="00DE6D2D" w:rsidRDefault="00DE6D2D" w:rsidP="00F63060">
      <w:pPr>
        <w:pStyle w:val="Heading2"/>
      </w:pPr>
      <w:bookmarkStart w:id="8" w:name="_Toc393811626"/>
      <w:r w:rsidRPr="00DE6D2D">
        <w:t xml:space="preserve">Finance Charges (Part </w:t>
      </w:r>
      <w:r w:rsidR="00F623A5">
        <w:t>1026</w:t>
      </w:r>
      <w:r w:rsidRPr="00DE6D2D">
        <w:t>.4)</w:t>
      </w:r>
      <w:bookmarkEnd w:id="8"/>
    </w:p>
    <w:p w:rsidR="00DE6D2D" w:rsidRDefault="00D55E3A" w:rsidP="00DE6D2D">
      <w:pPr>
        <w:pStyle w:val="ListParagraph"/>
        <w:autoSpaceDE w:val="0"/>
        <w:autoSpaceDN w:val="0"/>
        <w:adjustRightInd w:val="0"/>
        <w:ind w:left="1080" w:right="1170"/>
        <w:jc w:val="both"/>
        <w:rPr>
          <w:sz w:val="24"/>
          <w:szCs w:val="24"/>
        </w:rPr>
      </w:pPr>
      <w:r w:rsidRPr="00D55E3A">
        <w:rPr>
          <w:sz w:val="24"/>
          <w:szCs w:val="24"/>
        </w:rPr>
        <w:t>The finance charge is the cost of consumer credit as a dollar amount. It includes any charge payable directly or indirectly by the consumer and imposed directly or indirectly by the creditor as an incident to or a condition of the extension of credit. It does not include any charge of a type payable in a comp</w:t>
      </w:r>
      <w:r>
        <w:rPr>
          <w:sz w:val="24"/>
          <w:szCs w:val="24"/>
        </w:rPr>
        <w:t>arable cash transaction.  A</w:t>
      </w:r>
      <w:r w:rsidR="00DE6D2D" w:rsidRPr="00DE6D2D">
        <w:rPr>
          <w:sz w:val="24"/>
          <w:szCs w:val="24"/>
        </w:rPr>
        <w:t xml:space="preserve"> higher finance charge leads to a higher APR.</w:t>
      </w:r>
      <w:r w:rsidR="00132404">
        <w:rPr>
          <w:rStyle w:val="FootnoteReference"/>
          <w:sz w:val="24"/>
          <w:szCs w:val="24"/>
        </w:rPr>
        <w:footnoteReference w:id="3"/>
      </w:r>
      <w:r w:rsidR="00DE6D2D" w:rsidRPr="00DE6D2D">
        <w:rPr>
          <w:sz w:val="24"/>
          <w:szCs w:val="24"/>
        </w:rPr>
        <w:t xml:space="preserve"> </w:t>
      </w:r>
      <w:r w:rsidR="00492531">
        <w:rPr>
          <w:sz w:val="24"/>
          <w:szCs w:val="24"/>
        </w:rPr>
        <w:t>T</w:t>
      </w:r>
      <w:r w:rsidR="00DE6D2D" w:rsidRPr="00DE6D2D">
        <w:rPr>
          <w:sz w:val="24"/>
          <w:szCs w:val="24"/>
        </w:rPr>
        <w:t>he interest paid by the borrower on an on-going basis, mostly with each monthly payment</w:t>
      </w:r>
      <w:r w:rsidR="00492531">
        <w:rPr>
          <w:sz w:val="24"/>
          <w:szCs w:val="24"/>
        </w:rPr>
        <w:t>, would be one clear finance charge</w:t>
      </w:r>
      <w:r w:rsidR="00DE6D2D" w:rsidRPr="00DE6D2D">
        <w:rPr>
          <w:sz w:val="24"/>
          <w:szCs w:val="24"/>
        </w:rPr>
        <w:t xml:space="preserve">.  The loan origination fee charged by the mortgage loan originator upfront is also a </w:t>
      </w:r>
      <w:r w:rsidR="00492531">
        <w:rPr>
          <w:sz w:val="24"/>
          <w:szCs w:val="24"/>
        </w:rPr>
        <w:t xml:space="preserve">key </w:t>
      </w:r>
      <w:r w:rsidR="00DE6D2D" w:rsidRPr="00DE6D2D">
        <w:rPr>
          <w:sz w:val="24"/>
          <w:szCs w:val="24"/>
        </w:rPr>
        <w:t xml:space="preserve">part of all finance charges.  As </w:t>
      </w:r>
      <w:r w:rsidR="004C4476">
        <w:rPr>
          <w:sz w:val="24"/>
          <w:szCs w:val="24"/>
        </w:rPr>
        <w:t>shown</w:t>
      </w:r>
      <w:r w:rsidR="00DE6D2D" w:rsidRPr="00DE6D2D">
        <w:rPr>
          <w:sz w:val="24"/>
          <w:szCs w:val="24"/>
        </w:rPr>
        <w:t xml:space="preserve"> below, finance charges fall into two categories</w:t>
      </w:r>
      <w:r w:rsidR="004C4476">
        <w:rPr>
          <w:sz w:val="24"/>
          <w:szCs w:val="24"/>
        </w:rPr>
        <w:t>:</w:t>
      </w:r>
      <w:r w:rsidR="004C4476" w:rsidRPr="00DE6D2D">
        <w:rPr>
          <w:sz w:val="24"/>
          <w:szCs w:val="24"/>
        </w:rPr>
        <w:t xml:space="preserve"> </w:t>
      </w:r>
      <w:r w:rsidR="00DE6D2D" w:rsidRPr="00DE6D2D">
        <w:rPr>
          <w:sz w:val="24"/>
          <w:szCs w:val="24"/>
        </w:rPr>
        <w:t>Prepaid and Pre-computed</w:t>
      </w:r>
      <w:r w:rsidR="004C4476">
        <w:rPr>
          <w:sz w:val="24"/>
          <w:szCs w:val="24"/>
        </w:rPr>
        <w:t>.</w:t>
      </w:r>
    </w:p>
    <w:p w:rsidR="00DE6D2D" w:rsidRDefault="00DE6D2D">
      <w:pPr>
        <w:rPr>
          <w:sz w:val="24"/>
          <w:szCs w:val="24"/>
        </w:rPr>
      </w:pPr>
      <w:r>
        <w:rPr>
          <w:sz w:val="24"/>
          <w:szCs w:val="24"/>
        </w:rPr>
        <w:br w:type="page"/>
      </w:r>
    </w:p>
    <w:p w:rsidR="00DE6D2D" w:rsidRDefault="00DE6D2D" w:rsidP="005530B8">
      <w:pPr>
        <w:pStyle w:val="ListParagraph"/>
        <w:autoSpaceDE w:val="0"/>
        <w:autoSpaceDN w:val="0"/>
        <w:adjustRightInd w:val="0"/>
        <w:ind w:left="1417" w:right="1170"/>
        <w:jc w:val="both"/>
        <w:rPr>
          <w:sz w:val="24"/>
          <w:szCs w:val="24"/>
        </w:rPr>
      </w:pPr>
      <w:r w:rsidRPr="005530B8">
        <w:rPr>
          <w:b/>
          <w:sz w:val="24"/>
          <w:szCs w:val="24"/>
        </w:rPr>
        <w:lastRenderedPageBreak/>
        <w:t>1)</w:t>
      </w:r>
      <w:r w:rsidRPr="00DE6D2D">
        <w:rPr>
          <w:sz w:val="24"/>
          <w:szCs w:val="24"/>
        </w:rPr>
        <w:tab/>
      </w:r>
      <w:r w:rsidRPr="005530B8">
        <w:rPr>
          <w:b/>
          <w:sz w:val="24"/>
          <w:szCs w:val="24"/>
        </w:rPr>
        <w:t>Prepaid Finance Charges</w:t>
      </w:r>
      <w:r w:rsidRPr="00DE6D2D">
        <w:rPr>
          <w:sz w:val="24"/>
          <w:szCs w:val="24"/>
        </w:rPr>
        <w:t xml:space="preserve"> are paid upfront at settlement.  Prepaid finance charges effectively reduce the amount of funds available for the consumer's </w:t>
      </w:r>
      <w:proofErr w:type="gramStart"/>
      <w:r w:rsidRPr="00DE6D2D">
        <w:rPr>
          <w:sz w:val="24"/>
          <w:szCs w:val="24"/>
        </w:rPr>
        <w:t>use</w:t>
      </w:r>
      <w:r w:rsidR="004C4476">
        <w:rPr>
          <w:sz w:val="24"/>
          <w:szCs w:val="24"/>
        </w:rPr>
        <w:t>,</w:t>
      </w:r>
      <w:proofErr w:type="gramEnd"/>
      <w:r w:rsidR="004C4476" w:rsidRPr="00DE6D2D">
        <w:rPr>
          <w:sz w:val="24"/>
          <w:szCs w:val="24"/>
        </w:rPr>
        <w:t xml:space="preserve"> </w:t>
      </w:r>
      <w:r w:rsidRPr="00DE6D2D">
        <w:rPr>
          <w:sz w:val="24"/>
          <w:szCs w:val="24"/>
        </w:rPr>
        <w:t>usually before or at the time the transaction is consummated.  Examples of finance charges frequently prepaid by consumers are borrower's points, loan origination fees, real estate construction inspection fees, odd days' interest (interest attributable to part of the first payment period when that period is longer than a regular payment period), mortgage guarantee insurance fees paid to the Federal Housing Administration and private mortgage insurance (PMI) paid to such companies as the Mortgage Guaranty Insurance Company (MGIC) (</w:t>
      </w:r>
      <w:r w:rsidR="00F623A5">
        <w:rPr>
          <w:sz w:val="24"/>
          <w:szCs w:val="24"/>
        </w:rPr>
        <w:t>1026</w:t>
      </w:r>
      <w:r w:rsidRPr="00DE6D2D">
        <w:rPr>
          <w:sz w:val="24"/>
          <w:szCs w:val="24"/>
        </w:rPr>
        <w:t>.2(23))</w:t>
      </w:r>
      <w:r w:rsidR="00E81908">
        <w:rPr>
          <w:sz w:val="24"/>
          <w:szCs w:val="24"/>
        </w:rPr>
        <w:t>.</w:t>
      </w:r>
      <w:r w:rsidRPr="00DE6D2D">
        <w:rPr>
          <w:sz w:val="24"/>
          <w:szCs w:val="24"/>
        </w:rPr>
        <w:t xml:space="preserve">  </w:t>
      </w:r>
    </w:p>
    <w:p w:rsidR="005530B8" w:rsidRPr="005530B8" w:rsidRDefault="005530B8" w:rsidP="00DE6D2D">
      <w:pPr>
        <w:pStyle w:val="ListParagraph"/>
        <w:autoSpaceDE w:val="0"/>
        <w:autoSpaceDN w:val="0"/>
        <w:adjustRightInd w:val="0"/>
        <w:ind w:left="1080" w:right="1170"/>
        <w:jc w:val="both"/>
        <w:rPr>
          <w:b/>
          <w:sz w:val="24"/>
          <w:szCs w:val="24"/>
        </w:rPr>
      </w:pPr>
    </w:p>
    <w:p w:rsidR="00DE6D2D" w:rsidRDefault="00DE6D2D" w:rsidP="005530B8">
      <w:pPr>
        <w:pStyle w:val="ListParagraph"/>
        <w:autoSpaceDE w:val="0"/>
        <w:autoSpaceDN w:val="0"/>
        <w:adjustRightInd w:val="0"/>
        <w:ind w:left="1417" w:right="1170"/>
        <w:jc w:val="both"/>
        <w:rPr>
          <w:sz w:val="24"/>
          <w:szCs w:val="24"/>
        </w:rPr>
      </w:pPr>
      <w:r w:rsidRPr="005530B8">
        <w:rPr>
          <w:b/>
          <w:sz w:val="24"/>
          <w:szCs w:val="24"/>
        </w:rPr>
        <w:t>2)</w:t>
      </w:r>
      <w:r w:rsidRPr="005530B8">
        <w:rPr>
          <w:b/>
          <w:sz w:val="24"/>
          <w:szCs w:val="24"/>
        </w:rPr>
        <w:tab/>
        <w:t>Pre-computed Finance Charges</w:t>
      </w:r>
      <w:r w:rsidRPr="00DE6D2D">
        <w:rPr>
          <w:sz w:val="24"/>
          <w:szCs w:val="24"/>
        </w:rPr>
        <w:t xml:space="preserve"> are paid on an ongoing basis, after settlement, over the life of the mortgage</w:t>
      </w:r>
      <w:r w:rsidR="003A3575">
        <w:rPr>
          <w:sz w:val="24"/>
          <w:szCs w:val="24"/>
        </w:rPr>
        <w:t xml:space="preserve"> </w:t>
      </w:r>
      <w:r w:rsidR="004C4476">
        <w:rPr>
          <w:sz w:val="24"/>
          <w:szCs w:val="24"/>
        </w:rPr>
        <w:t>(where</w:t>
      </w:r>
      <w:r w:rsidR="00C0348D" w:rsidRPr="00C0348D">
        <w:rPr>
          <w:sz w:val="24"/>
          <w:szCs w:val="24"/>
        </w:rPr>
        <w:t xml:space="preserve"> the amount of the loan is expressed as a total that includes the </w:t>
      </w:r>
      <w:r w:rsidR="004C4476">
        <w:rPr>
          <w:sz w:val="24"/>
          <w:szCs w:val="24"/>
        </w:rPr>
        <w:t>principal</w:t>
      </w:r>
      <w:r w:rsidR="004C4476" w:rsidRPr="00C0348D">
        <w:rPr>
          <w:sz w:val="24"/>
          <w:szCs w:val="24"/>
        </w:rPr>
        <w:t xml:space="preserve"> </w:t>
      </w:r>
      <w:r w:rsidR="00C0348D" w:rsidRPr="00C0348D">
        <w:rPr>
          <w:sz w:val="24"/>
          <w:szCs w:val="24"/>
        </w:rPr>
        <w:t>balance as well as the finance charges computed in advance</w:t>
      </w:r>
      <w:r w:rsidR="004C4476">
        <w:rPr>
          <w:sz w:val="24"/>
          <w:szCs w:val="24"/>
        </w:rPr>
        <w:t>)</w:t>
      </w:r>
      <w:r w:rsidR="004C4476" w:rsidRPr="00C0348D">
        <w:rPr>
          <w:sz w:val="24"/>
          <w:szCs w:val="24"/>
        </w:rPr>
        <w:t>.</w:t>
      </w:r>
      <w:r w:rsidR="004C4476">
        <w:rPr>
          <w:sz w:val="24"/>
          <w:szCs w:val="24"/>
        </w:rPr>
        <w:t xml:space="preserve"> </w:t>
      </w:r>
      <w:r w:rsidRPr="00DE6D2D">
        <w:rPr>
          <w:sz w:val="24"/>
          <w:szCs w:val="24"/>
        </w:rPr>
        <w:t xml:space="preserve">An example is the monthly mortgage interest payment.   </w:t>
      </w:r>
    </w:p>
    <w:p w:rsidR="005530B8" w:rsidRPr="00DE6D2D" w:rsidRDefault="005530B8" w:rsidP="005530B8">
      <w:pPr>
        <w:pStyle w:val="ListParagraph"/>
        <w:autoSpaceDE w:val="0"/>
        <w:autoSpaceDN w:val="0"/>
        <w:adjustRightInd w:val="0"/>
        <w:ind w:left="1417" w:right="1170"/>
        <w:jc w:val="both"/>
        <w:rPr>
          <w:sz w:val="24"/>
          <w:szCs w:val="24"/>
        </w:rPr>
      </w:pPr>
    </w:p>
    <w:p w:rsidR="00DE6D2D" w:rsidRDefault="00502626" w:rsidP="00DE6D2D">
      <w:pPr>
        <w:pStyle w:val="ListParagraph"/>
        <w:autoSpaceDE w:val="0"/>
        <w:autoSpaceDN w:val="0"/>
        <w:adjustRightInd w:val="0"/>
        <w:ind w:left="1080" w:right="1170"/>
        <w:jc w:val="both"/>
        <w:rPr>
          <w:sz w:val="24"/>
          <w:szCs w:val="24"/>
        </w:rPr>
      </w:pPr>
      <w:r>
        <w:t>Since the finance charge is the cost of consumer credit as a dollar amount</w:t>
      </w:r>
      <w:r w:rsidR="004C4476">
        <w:t xml:space="preserve">, it </w:t>
      </w:r>
      <w:r>
        <w:t xml:space="preserve">includes any charge payable directly or indirectly by the consumer and imposed directly or indirectly by the creditor. </w:t>
      </w:r>
      <w:r w:rsidR="00DE6D2D" w:rsidRPr="00DE6D2D">
        <w:rPr>
          <w:sz w:val="24"/>
          <w:szCs w:val="24"/>
        </w:rPr>
        <w:t>Besides charges paid to the mortgage loan originator, the following three types of charges are part of the overall Finance Charge:</w:t>
      </w:r>
      <w:r w:rsidR="00974A1D">
        <w:rPr>
          <w:sz w:val="24"/>
          <w:szCs w:val="24"/>
        </w:rPr>
        <w:t xml:space="preserve"> </w:t>
      </w:r>
    </w:p>
    <w:p w:rsidR="005530B8" w:rsidRPr="00DE6D2D" w:rsidRDefault="005530B8" w:rsidP="00DE6D2D">
      <w:pPr>
        <w:pStyle w:val="ListParagraph"/>
        <w:autoSpaceDE w:val="0"/>
        <w:autoSpaceDN w:val="0"/>
        <w:adjustRightInd w:val="0"/>
        <w:ind w:left="1080" w:right="1170"/>
        <w:jc w:val="both"/>
        <w:rPr>
          <w:sz w:val="24"/>
          <w:szCs w:val="24"/>
        </w:rPr>
      </w:pPr>
    </w:p>
    <w:p w:rsidR="000E1709" w:rsidRDefault="004C4476" w:rsidP="005212C7">
      <w:pPr>
        <w:pStyle w:val="ListParagraph"/>
        <w:numPr>
          <w:ilvl w:val="0"/>
          <w:numId w:val="54"/>
        </w:numPr>
        <w:autoSpaceDE w:val="0"/>
        <w:autoSpaceDN w:val="0"/>
        <w:adjustRightInd w:val="0"/>
        <w:ind w:right="1170"/>
        <w:jc w:val="both"/>
        <w:rPr>
          <w:sz w:val="24"/>
          <w:szCs w:val="24"/>
        </w:rPr>
      </w:pPr>
      <w:r w:rsidRPr="005530B8">
        <w:rPr>
          <w:b/>
          <w:sz w:val="24"/>
          <w:szCs w:val="24"/>
        </w:rPr>
        <w:t>Third</w:t>
      </w:r>
      <w:r>
        <w:rPr>
          <w:b/>
          <w:sz w:val="24"/>
          <w:szCs w:val="24"/>
        </w:rPr>
        <w:t>-</w:t>
      </w:r>
      <w:r w:rsidR="00DE6D2D" w:rsidRPr="005530B8">
        <w:rPr>
          <w:b/>
          <w:sz w:val="24"/>
          <w:szCs w:val="24"/>
        </w:rPr>
        <w:t>Party Fees</w:t>
      </w:r>
      <w:r w:rsidR="00D55E3A">
        <w:rPr>
          <w:sz w:val="24"/>
          <w:szCs w:val="24"/>
        </w:rPr>
        <w:t xml:space="preserve">. Charges by third parties </w:t>
      </w:r>
      <w:r w:rsidR="00DE6D2D" w:rsidRPr="00DE6D2D">
        <w:rPr>
          <w:sz w:val="24"/>
          <w:szCs w:val="24"/>
        </w:rPr>
        <w:t>if use of the third party is required by the creditor or if the creditor can earn part of the fees.</w:t>
      </w:r>
    </w:p>
    <w:p w:rsidR="000E1709" w:rsidRDefault="00DE6D2D" w:rsidP="005212C7">
      <w:pPr>
        <w:pStyle w:val="ListParagraph"/>
        <w:numPr>
          <w:ilvl w:val="0"/>
          <w:numId w:val="54"/>
        </w:numPr>
        <w:autoSpaceDE w:val="0"/>
        <w:autoSpaceDN w:val="0"/>
        <w:adjustRightInd w:val="0"/>
        <w:ind w:right="1170"/>
        <w:jc w:val="both"/>
        <w:rPr>
          <w:sz w:val="24"/>
          <w:szCs w:val="24"/>
        </w:rPr>
      </w:pPr>
      <w:r w:rsidRPr="005530B8">
        <w:rPr>
          <w:b/>
          <w:sz w:val="24"/>
          <w:szCs w:val="24"/>
        </w:rPr>
        <w:t>Closing Agent Fees</w:t>
      </w:r>
      <w:r w:rsidRPr="00DE6D2D">
        <w:rPr>
          <w:sz w:val="24"/>
          <w:szCs w:val="24"/>
        </w:rPr>
        <w:t>. Charges by closing agents if the agent is required by the creditor or if the creditor can earn part of the fees.</w:t>
      </w:r>
    </w:p>
    <w:p w:rsidR="000E1709" w:rsidRDefault="00DE6D2D" w:rsidP="005212C7">
      <w:pPr>
        <w:pStyle w:val="ListParagraph"/>
        <w:numPr>
          <w:ilvl w:val="0"/>
          <w:numId w:val="54"/>
        </w:numPr>
        <w:autoSpaceDE w:val="0"/>
        <w:autoSpaceDN w:val="0"/>
        <w:adjustRightInd w:val="0"/>
        <w:ind w:right="1170"/>
        <w:jc w:val="both"/>
        <w:rPr>
          <w:sz w:val="24"/>
          <w:szCs w:val="24"/>
        </w:rPr>
      </w:pPr>
      <w:r w:rsidRPr="005530B8">
        <w:rPr>
          <w:b/>
          <w:sz w:val="24"/>
          <w:szCs w:val="24"/>
        </w:rPr>
        <w:t>Mortgage Loan Origination Fee</w:t>
      </w:r>
      <w:r w:rsidRPr="00DE6D2D">
        <w:rPr>
          <w:sz w:val="24"/>
          <w:szCs w:val="24"/>
        </w:rPr>
        <w:t xml:space="preserve">. Charges by the mortgage brokers, whether paid for by </w:t>
      </w:r>
      <w:r w:rsidR="004C4476">
        <w:rPr>
          <w:sz w:val="24"/>
          <w:szCs w:val="24"/>
        </w:rPr>
        <w:t xml:space="preserve">the </w:t>
      </w:r>
      <w:r w:rsidRPr="00DE6D2D">
        <w:rPr>
          <w:sz w:val="24"/>
          <w:szCs w:val="24"/>
        </w:rPr>
        <w:t>borrower directly or with loan proceeds, even if not required by the creditor and/or the creditor does not benefit from the fees.</w:t>
      </w:r>
    </w:p>
    <w:p w:rsidR="00D97871" w:rsidRDefault="00D97871" w:rsidP="005530B8">
      <w:pPr>
        <w:pStyle w:val="ListParagraph"/>
        <w:autoSpaceDE w:val="0"/>
        <w:autoSpaceDN w:val="0"/>
        <w:adjustRightInd w:val="0"/>
        <w:ind w:left="1417" w:right="1170"/>
        <w:jc w:val="both"/>
        <w:rPr>
          <w:sz w:val="24"/>
          <w:szCs w:val="24"/>
        </w:rPr>
      </w:pPr>
    </w:p>
    <w:p w:rsidR="00D97871" w:rsidRDefault="00D97871" w:rsidP="00D97871">
      <w:pPr>
        <w:pStyle w:val="ListParagraph"/>
        <w:autoSpaceDE w:val="0"/>
        <w:autoSpaceDN w:val="0"/>
        <w:adjustRightInd w:val="0"/>
        <w:ind w:left="1083" w:right="1170"/>
        <w:jc w:val="both"/>
        <w:rPr>
          <w:sz w:val="24"/>
          <w:szCs w:val="24"/>
        </w:rPr>
      </w:pPr>
      <w:r w:rsidRPr="00D97871">
        <w:rPr>
          <w:sz w:val="24"/>
          <w:szCs w:val="24"/>
        </w:rPr>
        <w:t xml:space="preserve">From a mortgage loan originator’s point of view, it is important to know the components embedded in an APR.  Failure to report certain fees as finance charges can be construed as an effort to deceive the borrower and as a violation of TILA.  An important concept to remember in this section is that Finance Charges are the fees charged by the mortgage loan originator to the borrower for the borrower to get the mortgage loan.  By this definition, we can exclude fees not directly or indirectly paid for by the borrower (e.g. Seller’s points) or fees that the borrower has to pay even if the borrower is buying a property with all cash (e.g. fees related to </w:t>
      </w:r>
      <w:r w:rsidR="004C4476">
        <w:rPr>
          <w:sz w:val="24"/>
          <w:szCs w:val="24"/>
        </w:rPr>
        <w:t xml:space="preserve">the </w:t>
      </w:r>
      <w:r w:rsidRPr="00D97871">
        <w:rPr>
          <w:sz w:val="24"/>
          <w:szCs w:val="24"/>
        </w:rPr>
        <w:t>title exam or pest inspection).</w:t>
      </w:r>
    </w:p>
    <w:p w:rsidR="00D97871" w:rsidRDefault="00D97871" w:rsidP="00D97871">
      <w:pPr>
        <w:pStyle w:val="ListParagraph"/>
        <w:autoSpaceDE w:val="0"/>
        <w:autoSpaceDN w:val="0"/>
        <w:adjustRightInd w:val="0"/>
        <w:ind w:left="1083" w:right="1170"/>
        <w:jc w:val="both"/>
        <w:rPr>
          <w:sz w:val="24"/>
          <w:szCs w:val="24"/>
        </w:rPr>
      </w:pPr>
    </w:p>
    <w:p w:rsidR="00D97871" w:rsidRPr="00D97871" w:rsidRDefault="00D97871" w:rsidP="00D97871">
      <w:pPr>
        <w:pStyle w:val="ListParagraph"/>
        <w:autoSpaceDE w:val="0"/>
        <w:autoSpaceDN w:val="0"/>
        <w:adjustRightInd w:val="0"/>
        <w:ind w:left="1083" w:right="1170"/>
        <w:jc w:val="both"/>
        <w:rPr>
          <w:sz w:val="24"/>
          <w:szCs w:val="24"/>
        </w:rPr>
      </w:pPr>
      <w:r w:rsidRPr="00D97871">
        <w:rPr>
          <w:sz w:val="24"/>
          <w:szCs w:val="24"/>
        </w:rPr>
        <w:t xml:space="preserve">Since some of the fees and expenses related to getting a mortgage and buying a house are not included in the calculation of the Finance Charge, in reality </w:t>
      </w:r>
      <w:r w:rsidR="006C7F6D">
        <w:rPr>
          <w:sz w:val="24"/>
          <w:szCs w:val="24"/>
        </w:rPr>
        <w:t xml:space="preserve">the </w:t>
      </w:r>
      <w:r w:rsidRPr="00D97871">
        <w:rPr>
          <w:sz w:val="24"/>
          <w:szCs w:val="24"/>
        </w:rPr>
        <w:t xml:space="preserve">APR might not completely reflect the total costs </w:t>
      </w:r>
      <w:r w:rsidR="006C7F6D">
        <w:rPr>
          <w:sz w:val="24"/>
          <w:szCs w:val="24"/>
        </w:rPr>
        <w:t>incurred by</w:t>
      </w:r>
      <w:r w:rsidR="006C7F6D" w:rsidRPr="00D97871">
        <w:rPr>
          <w:sz w:val="24"/>
          <w:szCs w:val="24"/>
        </w:rPr>
        <w:t xml:space="preserve"> </w:t>
      </w:r>
      <w:r w:rsidRPr="00D97871">
        <w:rPr>
          <w:sz w:val="24"/>
          <w:szCs w:val="24"/>
        </w:rPr>
        <w:t xml:space="preserve">the borrower to </w:t>
      </w:r>
      <w:r w:rsidR="006C7F6D">
        <w:rPr>
          <w:sz w:val="24"/>
          <w:szCs w:val="24"/>
        </w:rPr>
        <w:t>obtain</w:t>
      </w:r>
      <w:r w:rsidR="006C7F6D" w:rsidRPr="00D97871">
        <w:rPr>
          <w:sz w:val="24"/>
          <w:szCs w:val="24"/>
        </w:rPr>
        <w:t xml:space="preserve"> </w:t>
      </w:r>
      <w:r w:rsidRPr="00D97871">
        <w:rPr>
          <w:sz w:val="24"/>
          <w:szCs w:val="24"/>
        </w:rPr>
        <w:t xml:space="preserve">the mortgage.  As a responsible mortgage loan originator, you can help the borrower by pointing out </w:t>
      </w:r>
      <w:r w:rsidRPr="00D97871">
        <w:rPr>
          <w:sz w:val="24"/>
          <w:szCs w:val="24"/>
        </w:rPr>
        <w:lastRenderedPageBreak/>
        <w:t xml:space="preserve">what is missing in the APR, as it may help the borrower make a more informed decision.  </w:t>
      </w:r>
    </w:p>
    <w:p w:rsidR="00D97871" w:rsidRDefault="006C7F6D" w:rsidP="00D97871">
      <w:pPr>
        <w:pStyle w:val="ListParagraph"/>
        <w:autoSpaceDE w:val="0"/>
        <w:autoSpaceDN w:val="0"/>
        <w:adjustRightInd w:val="0"/>
        <w:ind w:left="1083" w:right="1170"/>
        <w:jc w:val="both"/>
        <w:rPr>
          <w:sz w:val="24"/>
          <w:szCs w:val="24"/>
        </w:rPr>
      </w:pPr>
      <w:r>
        <w:rPr>
          <w:sz w:val="24"/>
          <w:szCs w:val="24"/>
        </w:rPr>
        <w:t>There</w:t>
      </w:r>
      <w:r w:rsidRPr="00D97871">
        <w:rPr>
          <w:sz w:val="24"/>
          <w:szCs w:val="24"/>
        </w:rPr>
        <w:t xml:space="preserve"> </w:t>
      </w:r>
      <w:r w:rsidR="00D97871" w:rsidRPr="00D97871">
        <w:rPr>
          <w:sz w:val="24"/>
          <w:szCs w:val="24"/>
        </w:rPr>
        <w:t xml:space="preserve">are </w:t>
      </w:r>
      <w:r>
        <w:rPr>
          <w:sz w:val="24"/>
          <w:szCs w:val="24"/>
        </w:rPr>
        <w:t xml:space="preserve">often </w:t>
      </w:r>
      <w:r w:rsidR="00D97871" w:rsidRPr="00D97871">
        <w:rPr>
          <w:sz w:val="24"/>
          <w:szCs w:val="24"/>
        </w:rPr>
        <w:t xml:space="preserve">heated debates by mortgage professionals and consumer rights groups about what should be included in the Finance Charge, and thus in the APR.  The debate is not surprising given that a lower APR percentage is more appealing to borrowers. </w:t>
      </w:r>
    </w:p>
    <w:p w:rsidR="00D97871" w:rsidRPr="00D97871" w:rsidRDefault="00D97871" w:rsidP="00D97871">
      <w:pPr>
        <w:pStyle w:val="ListParagraph"/>
        <w:autoSpaceDE w:val="0"/>
        <w:autoSpaceDN w:val="0"/>
        <w:adjustRightInd w:val="0"/>
        <w:ind w:left="1083" w:right="1170"/>
        <w:jc w:val="both"/>
        <w:rPr>
          <w:sz w:val="24"/>
          <w:szCs w:val="24"/>
        </w:rPr>
      </w:pPr>
    </w:p>
    <w:p w:rsidR="00D97871" w:rsidRDefault="00D97871" w:rsidP="00D97871">
      <w:pPr>
        <w:pStyle w:val="ListParagraph"/>
        <w:autoSpaceDE w:val="0"/>
        <w:autoSpaceDN w:val="0"/>
        <w:adjustRightInd w:val="0"/>
        <w:ind w:left="1083" w:right="1170"/>
        <w:jc w:val="both"/>
        <w:rPr>
          <w:sz w:val="24"/>
          <w:szCs w:val="24"/>
        </w:rPr>
      </w:pPr>
      <w:r w:rsidRPr="00D97871">
        <w:rPr>
          <w:sz w:val="24"/>
          <w:szCs w:val="24"/>
        </w:rPr>
        <w:t xml:space="preserve">Another debate is the leeway given for inaccurate disclosure of the Finance Charge according to accuracy tolerances allowed by TILA.  The mortgage loan originator is required to disclose all charges known at </w:t>
      </w:r>
      <w:r w:rsidR="006C7F6D">
        <w:rPr>
          <w:sz w:val="24"/>
          <w:szCs w:val="24"/>
        </w:rPr>
        <w:t>the</w:t>
      </w:r>
      <w:r w:rsidR="006C7F6D" w:rsidRPr="00D97871">
        <w:rPr>
          <w:sz w:val="24"/>
          <w:szCs w:val="24"/>
        </w:rPr>
        <w:t xml:space="preserve"> </w:t>
      </w:r>
      <w:r w:rsidRPr="00D97871">
        <w:rPr>
          <w:sz w:val="24"/>
          <w:szCs w:val="24"/>
        </w:rPr>
        <w:t>time of disclosure. Keep in mind these charges may vary at the time of settlement and</w:t>
      </w:r>
      <w:r w:rsidR="006C7F6D">
        <w:rPr>
          <w:sz w:val="24"/>
          <w:szCs w:val="24"/>
        </w:rPr>
        <w:t>,</w:t>
      </w:r>
      <w:r w:rsidRPr="00D97871">
        <w:rPr>
          <w:sz w:val="24"/>
          <w:szCs w:val="24"/>
        </w:rPr>
        <w:t xml:space="preserve"> while all charges are not incorporated into the finance charge</w:t>
      </w:r>
      <w:r w:rsidR="006C7F6D">
        <w:rPr>
          <w:sz w:val="24"/>
          <w:szCs w:val="24"/>
        </w:rPr>
        <w:t>,</w:t>
      </w:r>
      <w:r w:rsidRPr="00D97871">
        <w:rPr>
          <w:sz w:val="24"/>
          <w:szCs w:val="24"/>
        </w:rPr>
        <w:t xml:space="preserve"> the MLO must be in line with the corresponding allowable fee tolerance per </w:t>
      </w:r>
      <w:r w:rsidR="00502626">
        <w:rPr>
          <w:sz w:val="24"/>
          <w:szCs w:val="24"/>
        </w:rPr>
        <w:t>The Real Estate Settlement Procedure Act (</w:t>
      </w:r>
      <w:r w:rsidRPr="00D97871">
        <w:rPr>
          <w:sz w:val="24"/>
          <w:szCs w:val="24"/>
        </w:rPr>
        <w:t>RESPA</w:t>
      </w:r>
      <w:r w:rsidR="00502626">
        <w:rPr>
          <w:sz w:val="24"/>
          <w:szCs w:val="24"/>
        </w:rPr>
        <w:t>)</w:t>
      </w:r>
      <w:r w:rsidRPr="00D97871">
        <w:rPr>
          <w:sz w:val="24"/>
          <w:szCs w:val="24"/>
        </w:rPr>
        <w:t xml:space="preserve"> and the TILA tolerance for APR and Finance Charges.  This is a critical issue because</w:t>
      </w:r>
      <w:r w:rsidR="00E81908">
        <w:rPr>
          <w:sz w:val="24"/>
          <w:szCs w:val="24"/>
        </w:rPr>
        <w:t>,</w:t>
      </w:r>
      <w:r w:rsidRPr="00D97871">
        <w:rPr>
          <w:sz w:val="24"/>
          <w:szCs w:val="24"/>
        </w:rPr>
        <w:t xml:space="preserve"> if the Finance Charge is deemed inaccurate, the borrower might be able to back out of the mortgage (or rescind), </w:t>
      </w:r>
      <w:r w:rsidR="006C7F6D">
        <w:rPr>
          <w:sz w:val="24"/>
          <w:szCs w:val="24"/>
        </w:rPr>
        <w:t>causing the</w:t>
      </w:r>
      <w:r w:rsidR="006C7F6D" w:rsidRPr="00D97871">
        <w:rPr>
          <w:sz w:val="24"/>
          <w:szCs w:val="24"/>
        </w:rPr>
        <w:t xml:space="preserve"> </w:t>
      </w:r>
      <w:r w:rsidRPr="00D97871">
        <w:rPr>
          <w:sz w:val="24"/>
          <w:szCs w:val="24"/>
        </w:rPr>
        <w:t xml:space="preserve">lenders to suffer losses.  In a lawsuit, mortgage loan originators might be liable for actual damage or up to twice the misstatement of finance charge.  In response to this issue, the Federal Reserve issued a rule in 1995 that clarified the accuracy tolerance of the Finance Charge.  This rule only applies to closed-end credits, i.e. not </w:t>
      </w:r>
      <w:r w:rsidR="00502626">
        <w:rPr>
          <w:sz w:val="24"/>
          <w:szCs w:val="24"/>
        </w:rPr>
        <w:t>Home Equity Line of Credit (</w:t>
      </w:r>
      <w:r w:rsidRPr="00D97871">
        <w:rPr>
          <w:sz w:val="24"/>
          <w:szCs w:val="24"/>
        </w:rPr>
        <w:t>HELOCs</w:t>
      </w:r>
      <w:r w:rsidR="00502626">
        <w:rPr>
          <w:sz w:val="24"/>
          <w:szCs w:val="24"/>
        </w:rPr>
        <w:t>)</w:t>
      </w:r>
      <w:r w:rsidRPr="00D97871">
        <w:rPr>
          <w:sz w:val="24"/>
          <w:szCs w:val="24"/>
        </w:rPr>
        <w:t xml:space="preserve">. </w:t>
      </w:r>
    </w:p>
    <w:p w:rsidR="00D97871" w:rsidRPr="00D97871" w:rsidRDefault="00D97871" w:rsidP="00D97871">
      <w:pPr>
        <w:pStyle w:val="ListParagraph"/>
        <w:autoSpaceDE w:val="0"/>
        <w:autoSpaceDN w:val="0"/>
        <w:adjustRightInd w:val="0"/>
        <w:ind w:left="1083" w:right="1170"/>
        <w:jc w:val="both"/>
        <w:rPr>
          <w:sz w:val="24"/>
          <w:szCs w:val="24"/>
        </w:rPr>
      </w:pPr>
    </w:p>
    <w:p w:rsidR="00D97871" w:rsidRPr="00DE6D2D" w:rsidRDefault="00D97871" w:rsidP="00D97871">
      <w:pPr>
        <w:pStyle w:val="ListParagraph"/>
        <w:autoSpaceDE w:val="0"/>
        <w:autoSpaceDN w:val="0"/>
        <w:adjustRightInd w:val="0"/>
        <w:ind w:left="1083" w:right="1170"/>
        <w:jc w:val="both"/>
        <w:rPr>
          <w:sz w:val="24"/>
          <w:szCs w:val="24"/>
        </w:rPr>
      </w:pPr>
      <w:r w:rsidRPr="00D97871">
        <w:rPr>
          <w:sz w:val="24"/>
          <w:szCs w:val="24"/>
        </w:rPr>
        <w:t>Specifically, according to the Truth-In-Lending Act</w:t>
      </w:r>
      <w:r w:rsidR="006C7F6D">
        <w:rPr>
          <w:sz w:val="24"/>
          <w:szCs w:val="24"/>
        </w:rPr>
        <w:t>,</w:t>
      </w:r>
      <w:r w:rsidRPr="00D97871">
        <w:rPr>
          <w:sz w:val="24"/>
          <w:szCs w:val="24"/>
        </w:rPr>
        <w:t xml:space="preserve">  Accuracy Tolerances for Closed-End Credit </w:t>
      </w:r>
      <w:r w:rsidR="008367CF">
        <w:rPr>
          <w:sz w:val="24"/>
          <w:szCs w:val="24"/>
        </w:rPr>
        <w:t>(</w:t>
      </w:r>
      <w:r w:rsidRPr="00D97871">
        <w:rPr>
          <w:sz w:val="24"/>
          <w:szCs w:val="24"/>
        </w:rPr>
        <w:t>§§</w:t>
      </w:r>
      <w:r w:rsidR="00F623A5">
        <w:rPr>
          <w:sz w:val="24"/>
          <w:szCs w:val="24"/>
        </w:rPr>
        <w:t>1026</w:t>
      </w:r>
      <w:r w:rsidRPr="00D97871">
        <w:rPr>
          <w:sz w:val="24"/>
          <w:szCs w:val="24"/>
        </w:rPr>
        <w:t xml:space="preserve">.18(d) &amp; </w:t>
      </w:r>
      <w:r w:rsidR="00F623A5">
        <w:rPr>
          <w:sz w:val="24"/>
          <w:szCs w:val="24"/>
        </w:rPr>
        <w:t>1026</w:t>
      </w:r>
      <w:r w:rsidRPr="00D97871">
        <w:rPr>
          <w:sz w:val="24"/>
          <w:szCs w:val="24"/>
        </w:rPr>
        <w:t>.23(h)</w:t>
      </w:r>
      <w:r w:rsidR="008367CF">
        <w:rPr>
          <w:sz w:val="24"/>
          <w:szCs w:val="24"/>
        </w:rPr>
        <w:t>)</w:t>
      </w:r>
      <w:r w:rsidRPr="00D97871">
        <w:rPr>
          <w:sz w:val="24"/>
          <w:szCs w:val="24"/>
        </w:rPr>
        <w:t xml:space="preserve"> state that for all loans originated on or after September 30, 1995 and secured by real property or a dwelling, the disclosed finance charge is considered accurate if it does not vary from the actual finance charge by more than $100. There are additional rules around tolerances in rescindable transactions that will be discussed later in the course material.</w:t>
      </w:r>
    </w:p>
    <w:p w:rsidR="00DE6D2D" w:rsidRDefault="00DE6D2D" w:rsidP="00DE6D2D">
      <w:pPr>
        <w:pStyle w:val="ListParagraph"/>
        <w:autoSpaceDE w:val="0"/>
        <w:autoSpaceDN w:val="0"/>
        <w:adjustRightInd w:val="0"/>
        <w:ind w:left="1080" w:right="1170"/>
        <w:jc w:val="both"/>
        <w:rPr>
          <w:sz w:val="24"/>
          <w:szCs w:val="24"/>
        </w:rPr>
      </w:pPr>
    </w:p>
    <w:p w:rsidR="00D97871" w:rsidRDefault="00D97871" w:rsidP="00AF7B92">
      <w:pPr>
        <w:pStyle w:val="Heading3"/>
      </w:pPr>
      <w:r w:rsidRPr="00D97871">
        <w:t xml:space="preserve">Examples of Items Included in Finance Charges (Part </w:t>
      </w:r>
      <w:r w:rsidR="00F623A5">
        <w:t>1026</w:t>
      </w:r>
      <w:r w:rsidRPr="00D97871">
        <w:t>.4):</w:t>
      </w:r>
    </w:p>
    <w:p w:rsidR="00697175" w:rsidRDefault="00697175" w:rsidP="00DE6D2D">
      <w:pPr>
        <w:pStyle w:val="ListParagraph"/>
        <w:autoSpaceDE w:val="0"/>
        <w:autoSpaceDN w:val="0"/>
        <w:adjustRightInd w:val="0"/>
        <w:ind w:left="1080" w:right="1170"/>
        <w:jc w:val="both"/>
        <w:rPr>
          <w:sz w:val="24"/>
          <w:szCs w:val="24"/>
          <w:u w:val="single"/>
        </w:rPr>
      </w:pPr>
    </w:p>
    <w:p w:rsidR="00697175" w:rsidRDefault="00697175" w:rsidP="005212C7">
      <w:pPr>
        <w:pStyle w:val="ListParagraph"/>
        <w:numPr>
          <w:ilvl w:val="0"/>
          <w:numId w:val="12"/>
        </w:numPr>
        <w:autoSpaceDE w:val="0"/>
        <w:autoSpaceDN w:val="0"/>
        <w:adjustRightInd w:val="0"/>
        <w:ind w:right="1170"/>
        <w:rPr>
          <w:sz w:val="24"/>
          <w:szCs w:val="24"/>
        </w:rPr>
      </w:pPr>
      <w:r w:rsidRPr="00B60D9F">
        <w:rPr>
          <w:sz w:val="24"/>
          <w:szCs w:val="24"/>
        </w:rPr>
        <w:t>Interest</w:t>
      </w:r>
      <w:r w:rsidRPr="00697175">
        <w:rPr>
          <w:sz w:val="24"/>
          <w:szCs w:val="24"/>
        </w:rPr>
        <w:t xml:space="preserve">. Interest, </w:t>
      </w:r>
      <w:r w:rsidR="006C7F6D" w:rsidRPr="00697175">
        <w:rPr>
          <w:sz w:val="24"/>
          <w:szCs w:val="24"/>
        </w:rPr>
        <w:t>time</w:t>
      </w:r>
      <w:r w:rsidR="006C7F6D">
        <w:rPr>
          <w:sz w:val="24"/>
          <w:szCs w:val="24"/>
        </w:rPr>
        <w:t>-</w:t>
      </w:r>
      <w:r w:rsidRPr="00697175">
        <w:rPr>
          <w:sz w:val="24"/>
          <w:szCs w:val="24"/>
        </w:rPr>
        <w:t xml:space="preserve">price differential, and any amount payable under an add-on or discount system of additional charges. </w:t>
      </w:r>
    </w:p>
    <w:p w:rsidR="00697175" w:rsidRPr="00697175" w:rsidRDefault="00697175" w:rsidP="00B60D9F">
      <w:pPr>
        <w:pStyle w:val="ListParagraph"/>
        <w:autoSpaceDE w:val="0"/>
        <w:autoSpaceDN w:val="0"/>
        <w:adjustRightInd w:val="0"/>
        <w:ind w:left="1800" w:right="1170"/>
        <w:rPr>
          <w:sz w:val="24"/>
          <w:szCs w:val="24"/>
        </w:rPr>
      </w:pPr>
    </w:p>
    <w:p w:rsidR="00697175" w:rsidRDefault="00697175" w:rsidP="005212C7">
      <w:pPr>
        <w:pStyle w:val="ListParagraph"/>
        <w:numPr>
          <w:ilvl w:val="0"/>
          <w:numId w:val="12"/>
        </w:numPr>
        <w:autoSpaceDE w:val="0"/>
        <w:autoSpaceDN w:val="0"/>
        <w:adjustRightInd w:val="0"/>
        <w:ind w:right="1170"/>
        <w:jc w:val="both"/>
        <w:rPr>
          <w:sz w:val="24"/>
          <w:szCs w:val="24"/>
        </w:rPr>
      </w:pPr>
      <w:r w:rsidRPr="00B60D9F">
        <w:rPr>
          <w:sz w:val="24"/>
          <w:szCs w:val="24"/>
        </w:rPr>
        <w:t>Transaction Fees</w:t>
      </w:r>
      <w:r w:rsidRPr="00697175">
        <w:rPr>
          <w:sz w:val="24"/>
          <w:szCs w:val="24"/>
        </w:rPr>
        <w:t xml:space="preserve">. Service, transaction, activity, and carrying charges, including any charge imposed on a checking or other transaction account to the extent that the charge exceeds the charge for a similar home purchase paid for by all cash. Remember, charges that are required even in an </w:t>
      </w:r>
      <w:r w:rsidR="006C7F6D" w:rsidRPr="00697175">
        <w:rPr>
          <w:sz w:val="24"/>
          <w:szCs w:val="24"/>
        </w:rPr>
        <w:t>all</w:t>
      </w:r>
      <w:r w:rsidR="006C7F6D">
        <w:rPr>
          <w:sz w:val="24"/>
          <w:szCs w:val="24"/>
        </w:rPr>
        <w:t>-</w:t>
      </w:r>
      <w:r w:rsidRPr="00697175">
        <w:rPr>
          <w:sz w:val="24"/>
          <w:szCs w:val="24"/>
        </w:rPr>
        <w:t>cash transaction would not be included as long as the charges are similar in the two cases.</w:t>
      </w:r>
    </w:p>
    <w:p w:rsidR="00697175" w:rsidRPr="00697175" w:rsidRDefault="00697175" w:rsidP="00B60D9F">
      <w:pPr>
        <w:pStyle w:val="ListParagraph"/>
        <w:autoSpaceDE w:val="0"/>
        <w:autoSpaceDN w:val="0"/>
        <w:adjustRightInd w:val="0"/>
        <w:ind w:left="1800" w:right="1170"/>
        <w:rPr>
          <w:sz w:val="24"/>
          <w:szCs w:val="24"/>
        </w:rPr>
      </w:pPr>
    </w:p>
    <w:p w:rsidR="00697175" w:rsidRDefault="00697175" w:rsidP="005212C7">
      <w:pPr>
        <w:pStyle w:val="ListParagraph"/>
        <w:numPr>
          <w:ilvl w:val="0"/>
          <w:numId w:val="12"/>
        </w:numPr>
        <w:autoSpaceDE w:val="0"/>
        <w:autoSpaceDN w:val="0"/>
        <w:adjustRightInd w:val="0"/>
        <w:ind w:right="1170"/>
        <w:jc w:val="both"/>
        <w:rPr>
          <w:sz w:val="24"/>
          <w:szCs w:val="24"/>
        </w:rPr>
      </w:pPr>
      <w:r w:rsidRPr="00B60D9F">
        <w:rPr>
          <w:sz w:val="24"/>
          <w:szCs w:val="24"/>
        </w:rPr>
        <w:t>Points and the Loan Origination Fee</w:t>
      </w:r>
      <w:r w:rsidRPr="00697175">
        <w:rPr>
          <w:sz w:val="24"/>
          <w:szCs w:val="24"/>
        </w:rPr>
        <w:t xml:space="preserve">. These charges include points, loan fees, assumption fees and similar charges. </w:t>
      </w:r>
    </w:p>
    <w:p w:rsidR="00697175" w:rsidRPr="00697175" w:rsidRDefault="00697175" w:rsidP="00B60D9F">
      <w:pPr>
        <w:pStyle w:val="ListParagraph"/>
        <w:autoSpaceDE w:val="0"/>
        <w:autoSpaceDN w:val="0"/>
        <w:adjustRightInd w:val="0"/>
        <w:ind w:left="1800" w:right="1170"/>
        <w:rPr>
          <w:sz w:val="24"/>
          <w:szCs w:val="24"/>
        </w:rPr>
      </w:pPr>
    </w:p>
    <w:p w:rsidR="00697175" w:rsidRDefault="00697175" w:rsidP="005212C7">
      <w:pPr>
        <w:pStyle w:val="ListParagraph"/>
        <w:numPr>
          <w:ilvl w:val="0"/>
          <w:numId w:val="12"/>
        </w:numPr>
        <w:autoSpaceDE w:val="0"/>
        <w:autoSpaceDN w:val="0"/>
        <w:adjustRightInd w:val="0"/>
        <w:ind w:right="1170"/>
        <w:jc w:val="both"/>
        <w:rPr>
          <w:sz w:val="24"/>
          <w:szCs w:val="24"/>
        </w:rPr>
      </w:pPr>
      <w:r w:rsidRPr="00B60D9F">
        <w:rPr>
          <w:sz w:val="24"/>
          <w:szCs w:val="24"/>
        </w:rPr>
        <w:lastRenderedPageBreak/>
        <w:t>Credit Guarantee Insurance</w:t>
      </w:r>
      <w:r w:rsidRPr="00697175">
        <w:rPr>
          <w:sz w:val="24"/>
          <w:szCs w:val="24"/>
        </w:rPr>
        <w:t>. This represents premiums or other charges for any guarantee or insurance protecting the lender against the borrower's default or other credit loss</w:t>
      </w:r>
      <w:r w:rsidR="006C7F6D">
        <w:rPr>
          <w:sz w:val="24"/>
          <w:szCs w:val="24"/>
        </w:rPr>
        <w:t>es</w:t>
      </w:r>
      <w:r w:rsidRPr="00697175">
        <w:rPr>
          <w:sz w:val="24"/>
          <w:szCs w:val="24"/>
        </w:rPr>
        <w:t xml:space="preserve">. </w:t>
      </w:r>
      <w:r w:rsidR="008367CF">
        <w:rPr>
          <w:sz w:val="24"/>
          <w:szCs w:val="24"/>
        </w:rPr>
        <w:t xml:space="preserve"> </w:t>
      </w:r>
      <w:r w:rsidRPr="00697175">
        <w:rPr>
          <w:sz w:val="24"/>
          <w:szCs w:val="24"/>
        </w:rPr>
        <w:t xml:space="preserve">In order words, </w:t>
      </w:r>
      <w:r w:rsidR="006C7F6D">
        <w:rPr>
          <w:sz w:val="24"/>
          <w:szCs w:val="24"/>
        </w:rPr>
        <w:t xml:space="preserve">this is </w:t>
      </w:r>
      <w:r w:rsidRPr="00697175">
        <w:rPr>
          <w:sz w:val="24"/>
          <w:szCs w:val="24"/>
        </w:rPr>
        <w:t>the fee the borrower pays to minimize the lender’s credit risk should they default</w:t>
      </w:r>
      <w:r w:rsidR="006C7F6D">
        <w:rPr>
          <w:sz w:val="24"/>
          <w:szCs w:val="24"/>
        </w:rPr>
        <w:t>. Such</w:t>
      </w:r>
      <w:r w:rsidRPr="00697175">
        <w:rPr>
          <w:sz w:val="24"/>
          <w:szCs w:val="24"/>
        </w:rPr>
        <w:t xml:space="preserve"> charges would not be necessary in an </w:t>
      </w:r>
      <w:r w:rsidR="006C7F6D" w:rsidRPr="00697175">
        <w:rPr>
          <w:sz w:val="24"/>
          <w:szCs w:val="24"/>
        </w:rPr>
        <w:t>all</w:t>
      </w:r>
      <w:r w:rsidR="006C7F6D">
        <w:rPr>
          <w:sz w:val="24"/>
          <w:szCs w:val="24"/>
        </w:rPr>
        <w:t>-</w:t>
      </w:r>
      <w:r w:rsidRPr="00697175">
        <w:rPr>
          <w:sz w:val="24"/>
          <w:szCs w:val="24"/>
        </w:rPr>
        <w:t>cash transaction.</w:t>
      </w:r>
    </w:p>
    <w:p w:rsidR="00697175" w:rsidRDefault="00697175" w:rsidP="00B60D9F">
      <w:pPr>
        <w:pStyle w:val="ListParagraph"/>
        <w:autoSpaceDE w:val="0"/>
        <w:autoSpaceDN w:val="0"/>
        <w:adjustRightInd w:val="0"/>
        <w:ind w:left="1800" w:right="1170"/>
        <w:rPr>
          <w:sz w:val="24"/>
          <w:szCs w:val="24"/>
        </w:rPr>
      </w:pPr>
    </w:p>
    <w:p w:rsidR="00697175" w:rsidRDefault="00697175" w:rsidP="005212C7">
      <w:pPr>
        <w:pStyle w:val="ListParagraph"/>
        <w:numPr>
          <w:ilvl w:val="0"/>
          <w:numId w:val="12"/>
        </w:numPr>
        <w:autoSpaceDE w:val="0"/>
        <w:autoSpaceDN w:val="0"/>
        <w:adjustRightInd w:val="0"/>
        <w:ind w:right="1170"/>
        <w:jc w:val="both"/>
        <w:rPr>
          <w:sz w:val="24"/>
          <w:szCs w:val="24"/>
        </w:rPr>
      </w:pPr>
      <w:r w:rsidRPr="00697175">
        <w:rPr>
          <w:sz w:val="24"/>
          <w:szCs w:val="24"/>
        </w:rPr>
        <w:t>Charges imposed on the mortgage loan originator by another company for purchasing or accepting a borrower's obligation, assuming the borrower is required to pay the charges in cash as an addition to the obligation or as a deduction from the proceeds of the obligation.  This case occurs when the lender sells the borrower’s mortgage to another entity.  Again, this charge would not be necessary in an all-cash transaction.</w:t>
      </w:r>
    </w:p>
    <w:p w:rsidR="00697175" w:rsidRPr="00697175" w:rsidRDefault="00697175" w:rsidP="00B60D9F">
      <w:pPr>
        <w:pStyle w:val="ListParagraph"/>
        <w:autoSpaceDE w:val="0"/>
        <w:autoSpaceDN w:val="0"/>
        <w:adjustRightInd w:val="0"/>
        <w:ind w:left="1800" w:right="1170"/>
        <w:rPr>
          <w:sz w:val="24"/>
          <w:szCs w:val="24"/>
        </w:rPr>
      </w:pPr>
    </w:p>
    <w:p w:rsidR="00697175" w:rsidRPr="0052715E" w:rsidRDefault="00697175" w:rsidP="005212C7">
      <w:pPr>
        <w:pStyle w:val="ListParagraph"/>
        <w:numPr>
          <w:ilvl w:val="0"/>
          <w:numId w:val="12"/>
        </w:numPr>
        <w:autoSpaceDE w:val="0"/>
        <w:autoSpaceDN w:val="0"/>
        <w:adjustRightInd w:val="0"/>
        <w:ind w:right="1170"/>
        <w:jc w:val="both"/>
        <w:rPr>
          <w:sz w:val="24"/>
          <w:szCs w:val="24"/>
        </w:rPr>
      </w:pPr>
      <w:r w:rsidRPr="0052715E">
        <w:rPr>
          <w:sz w:val="24"/>
          <w:szCs w:val="24"/>
        </w:rPr>
        <w:t xml:space="preserve">Certain appraisal, investigation and inspection fees </w:t>
      </w:r>
      <w:r w:rsidR="00657BA9" w:rsidRPr="00657BA9">
        <w:rPr>
          <w:sz w:val="24"/>
          <w:szCs w:val="24"/>
        </w:rPr>
        <w:t xml:space="preserve">when these services were </w:t>
      </w:r>
      <w:r w:rsidRPr="0052715E">
        <w:rPr>
          <w:sz w:val="24"/>
          <w:szCs w:val="24"/>
        </w:rPr>
        <w:t xml:space="preserve">performed after closing.  </w:t>
      </w:r>
    </w:p>
    <w:p w:rsidR="00697175" w:rsidRPr="00697175" w:rsidRDefault="00697175" w:rsidP="00B60D9F">
      <w:pPr>
        <w:pStyle w:val="ListParagraph"/>
        <w:autoSpaceDE w:val="0"/>
        <w:autoSpaceDN w:val="0"/>
        <w:adjustRightInd w:val="0"/>
        <w:ind w:left="1800" w:right="1170"/>
        <w:jc w:val="both"/>
        <w:rPr>
          <w:sz w:val="24"/>
          <w:szCs w:val="24"/>
        </w:rPr>
      </w:pPr>
    </w:p>
    <w:p w:rsidR="00697175" w:rsidRDefault="00697175" w:rsidP="005212C7">
      <w:pPr>
        <w:pStyle w:val="ListParagraph"/>
        <w:numPr>
          <w:ilvl w:val="0"/>
          <w:numId w:val="12"/>
        </w:numPr>
        <w:autoSpaceDE w:val="0"/>
        <w:autoSpaceDN w:val="0"/>
        <w:adjustRightInd w:val="0"/>
        <w:ind w:right="1170"/>
        <w:jc w:val="both"/>
        <w:rPr>
          <w:sz w:val="24"/>
          <w:szCs w:val="24"/>
        </w:rPr>
      </w:pPr>
      <w:r w:rsidRPr="00697175">
        <w:rPr>
          <w:sz w:val="24"/>
          <w:szCs w:val="24"/>
        </w:rPr>
        <w:t>Premiums or other charges for credit life, accident, health, or loss-of-income insurance written in connection with a credit transaction, unless the insurance is not required by the lender, is properly disclosed and is authorized by the borrower (</w:t>
      </w:r>
      <w:r w:rsidR="009B1B46">
        <w:rPr>
          <w:sz w:val="24"/>
          <w:szCs w:val="24"/>
        </w:rPr>
        <w:t>see</w:t>
      </w:r>
      <w:r w:rsidR="009B1B46" w:rsidRPr="00697175">
        <w:rPr>
          <w:sz w:val="24"/>
          <w:szCs w:val="24"/>
        </w:rPr>
        <w:t xml:space="preserve"> </w:t>
      </w:r>
      <w:r w:rsidRPr="00697175">
        <w:rPr>
          <w:sz w:val="24"/>
          <w:szCs w:val="24"/>
        </w:rPr>
        <w:t xml:space="preserve">Part </w:t>
      </w:r>
      <w:r w:rsidR="00F623A5">
        <w:rPr>
          <w:sz w:val="24"/>
          <w:szCs w:val="24"/>
        </w:rPr>
        <w:t>1026</w:t>
      </w:r>
      <w:r w:rsidRPr="00697175">
        <w:rPr>
          <w:sz w:val="24"/>
          <w:szCs w:val="24"/>
        </w:rPr>
        <w:t>.4(d) for further information)</w:t>
      </w:r>
      <w:r w:rsidR="009B1B46">
        <w:rPr>
          <w:sz w:val="24"/>
          <w:szCs w:val="24"/>
        </w:rPr>
        <w:t>.</w:t>
      </w:r>
    </w:p>
    <w:p w:rsidR="00697175" w:rsidRPr="00697175" w:rsidRDefault="00697175" w:rsidP="00B60D9F">
      <w:pPr>
        <w:pStyle w:val="ListParagraph"/>
        <w:autoSpaceDE w:val="0"/>
        <w:autoSpaceDN w:val="0"/>
        <w:adjustRightInd w:val="0"/>
        <w:ind w:left="1800" w:right="1170"/>
        <w:jc w:val="both"/>
        <w:rPr>
          <w:sz w:val="24"/>
          <w:szCs w:val="24"/>
        </w:rPr>
      </w:pPr>
    </w:p>
    <w:p w:rsidR="00697175" w:rsidRDefault="00697175" w:rsidP="005212C7">
      <w:pPr>
        <w:pStyle w:val="ListParagraph"/>
        <w:numPr>
          <w:ilvl w:val="0"/>
          <w:numId w:val="12"/>
        </w:numPr>
        <w:autoSpaceDE w:val="0"/>
        <w:autoSpaceDN w:val="0"/>
        <w:adjustRightInd w:val="0"/>
        <w:ind w:right="1170"/>
        <w:jc w:val="both"/>
        <w:rPr>
          <w:sz w:val="24"/>
          <w:szCs w:val="24"/>
        </w:rPr>
      </w:pPr>
      <w:r w:rsidRPr="00697175">
        <w:rPr>
          <w:sz w:val="24"/>
          <w:szCs w:val="24"/>
        </w:rPr>
        <w:t>Premiums or other charges for insurance against loss of or damage to property or against liability arising out of the ownership or use of property, written in connection with a credit transaction, unless the insurance is not required by the lender, is properly disclosed and the insurance carrier is selected by the borrower  (</w:t>
      </w:r>
      <w:r w:rsidR="009B1B46">
        <w:rPr>
          <w:sz w:val="24"/>
          <w:szCs w:val="24"/>
        </w:rPr>
        <w:t>see</w:t>
      </w:r>
      <w:r w:rsidR="009B1B46" w:rsidRPr="00697175">
        <w:rPr>
          <w:sz w:val="24"/>
          <w:szCs w:val="24"/>
        </w:rPr>
        <w:t xml:space="preserve"> </w:t>
      </w:r>
      <w:r w:rsidRPr="00697175">
        <w:rPr>
          <w:sz w:val="24"/>
          <w:szCs w:val="24"/>
        </w:rPr>
        <w:t xml:space="preserve">Part </w:t>
      </w:r>
      <w:r w:rsidR="00F623A5">
        <w:rPr>
          <w:sz w:val="24"/>
          <w:szCs w:val="24"/>
        </w:rPr>
        <w:t>1026</w:t>
      </w:r>
      <w:r w:rsidRPr="00697175">
        <w:rPr>
          <w:sz w:val="24"/>
          <w:szCs w:val="24"/>
        </w:rPr>
        <w:t>.4(d) for further information)</w:t>
      </w:r>
      <w:r w:rsidR="009B1B46">
        <w:rPr>
          <w:sz w:val="24"/>
          <w:szCs w:val="24"/>
        </w:rPr>
        <w:t>.</w:t>
      </w:r>
    </w:p>
    <w:p w:rsidR="00697175" w:rsidRPr="00697175" w:rsidRDefault="00697175" w:rsidP="00B60D9F">
      <w:pPr>
        <w:pStyle w:val="ListParagraph"/>
        <w:autoSpaceDE w:val="0"/>
        <w:autoSpaceDN w:val="0"/>
        <w:adjustRightInd w:val="0"/>
        <w:ind w:left="1800" w:right="1170"/>
        <w:jc w:val="both"/>
        <w:rPr>
          <w:sz w:val="24"/>
          <w:szCs w:val="24"/>
        </w:rPr>
      </w:pPr>
    </w:p>
    <w:p w:rsidR="00697175" w:rsidRDefault="00697175" w:rsidP="005212C7">
      <w:pPr>
        <w:pStyle w:val="ListParagraph"/>
        <w:numPr>
          <w:ilvl w:val="0"/>
          <w:numId w:val="12"/>
        </w:numPr>
        <w:autoSpaceDE w:val="0"/>
        <w:autoSpaceDN w:val="0"/>
        <w:adjustRightInd w:val="0"/>
        <w:ind w:right="1170"/>
        <w:jc w:val="both"/>
        <w:rPr>
          <w:sz w:val="24"/>
          <w:szCs w:val="24"/>
        </w:rPr>
      </w:pPr>
      <w:r w:rsidRPr="00B60D9F">
        <w:rPr>
          <w:sz w:val="24"/>
          <w:szCs w:val="24"/>
        </w:rPr>
        <w:t>Discount Points</w:t>
      </w:r>
      <w:r w:rsidRPr="00697175">
        <w:rPr>
          <w:sz w:val="24"/>
          <w:szCs w:val="24"/>
        </w:rPr>
        <w:t xml:space="preserve">. Discounts for the purpose of inducing payment by a means other than the use of credit. </w:t>
      </w:r>
    </w:p>
    <w:p w:rsidR="00697175" w:rsidRPr="00697175" w:rsidRDefault="00697175" w:rsidP="00B60D9F">
      <w:pPr>
        <w:pStyle w:val="ListParagraph"/>
        <w:autoSpaceDE w:val="0"/>
        <w:autoSpaceDN w:val="0"/>
        <w:adjustRightInd w:val="0"/>
        <w:ind w:left="1800" w:right="1170"/>
        <w:jc w:val="both"/>
        <w:rPr>
          <w:sz w:val="24"/>
          <w:szCs w:val="24"/>
        </w:rPr>
      </w:pPr>
    </w:p>
    <w:p w:rsidR="00697175" w:rsidRDefault="009B1B46" w:rsidP="005212C7">
      <w:pPr>
        <w:pStyle w:val="ListParagraph"/>
        <w:numPr>
          <w:ilvl w:val="0"/>
          <w:numId w:val="12"/>
        </w:numPr>
        <w:autoSpaceDE w:val="0"/>
        <w:autoSpaceDN w:val="0"/>
        <w:adjustRightInd w:val="0"/>
        <w:ind w:right="1170"/>
        <w:jc w:val="both"/>
        <w:rPr>
          <w:sz w:val="24"/>
          <w:szCs w:val="24"/>
        </w:rPr>
      </w:pPr>
      <w:r w:rsidRPr="00B60D9F">
        <w:rPr>
          <w:sz w:val="24"/>
          <w:szCs w:val="24"/>
        </w:rPr>
        <w:t>Debt</w:t>
      </w:r>
      <w:r>
        <w:rPr>
          <w:sz w:val="24"/>
          <w:szCs w:val="24"/>
        </w:rPr>
        <w:t>-</w:t>
      </w:r>
      <w:r w:rsidR="00697175" w:rsidRPr="00B60D9F">
        <w:rPr>
          <w:sz w:val="24"/>
          <w:szCs w:val="24"/>
        </w:rPr>
        <w:t>cancellation fees.</w:t>
      </w:r>
      <w:r w:rsidR="00697175" w:rsidRPr="00697175">
        <w:rPr>
          <w:sz w:val="24"/>
          <w:szCs w:val="24"/>
        </w:rPr>
        <w:t xml:space="preserve"> Charges or premiums paid for </w:t>
      </w:r>
      <w:r w:rsidRPr="00697175">
        <w:rPr>
          <w:sz w:val="24"/>
          <w:szCs w:val="24"/>
        </w:rPr>
        <w:t>debt</w:t>
      </w:r>
      <w:r>
        <w:rPr>
          <w:sz w:val="24"/>
          <w:szCs w:val="24"/>
        </w:rPr>
        <w:t>-</w:t>
      </w:r>
      <w:r w:rsidR="00697175" w:rsidRPr="00697175">
        <w:rPr>
          <w:sz w:val="24"/>
          <w:szCs w:val="24"/>
        </w:rPr>
        <w:t xml:space="preserve">cancellation coverage written in connection with a credit transaction, whether or not the </w:t>
      </w:r>
      <w:r w:rsidRPr="00697175">
        <w:rPr>
          <w:sz w:val="24"/>
          <w:szCs w:val="24"/>
        </w:rPr>
        <w:t>debt</w:t>
      </w:r>
      <w:r>
        <w:rPr>
          <w:sz w:val="24"/>
          <w:szCs w:val="24"/>
        </w:rPr>
        <w:t>-</w:t>
      </w:r>
      <w:r w:rsidR="00697175" w:rsidRPr="00697175">
        <w:rPr>
          <w:sz w:val="24"/>
          <w:szCs w:val="24"/>
        </w:rPr>
        <w:t xml:space="preserve">cancellation coverage is insurance under applicable law, unless it is not required by the lender, is properly disclosed </w:t>
      </w:r>
      <w:r w:rsidR="00484C08">
        <w:rPr>
          <w:sz w:val="24"/>
          <w:szCs w:val="24"/>
        </w:rPr>
        <w:t xml:space="preserve">to </w:t>
      </w:r>
      <w:r w:rsidR="00697175" w:rsidRPr="00697175">
        <w:rPr>
          <w:sz w:val="24"/>
          <w:szCs w:val="24"/>
        </w:rPr>
        <w:t>and is authorized by the borrower (</w:t>
      </w:r>
      <w:r w:rsidR="00C170FD">
        <w:rPr>
          <w:sz w:val="24"/>
          <w:szCs w:val="24"/>
        </w:rPr>
        <w:t>s</w:t>
      </w:r>
      <w:r w:rsidR="00C170FD" w:rsidRPr="00697175">
        <w:rPr>
          <w:sz w:val="24"/>
          <w:szCs w:val="24"/>
        </w:rPr>
        <w:t xml:space="preserve">ee </w:t>
      </w:r>
      <w:r w:rsidR="00697175" w:rsidRPr="00697175">
        <w:rPr>
          <w:sz w:val="24"/>
          <w:szCs w:val="24"/>
        </w:rPr>
        <w:t xml:space="preserve">Part </w:t>
      </w:r>
      <w:r w:rsidR="00F623A5">
        <w:rPr>
          <w:sz w:val="24"/>
          <w:szCs w:val="24"/>
        </w:rPr>
        <w:t>1026</w:t>
      </w:r>
      <w:r w:rsidR="00697175" w:rsidRPr="00697175">
        <w:rPr>
          <w:sz w:val="24"/>
          <w:szCs w:val="24"/>
        </w:rPr>
        <w:t>.4(d) for further information)</w:t>
      </w:r>
      <w:r w:rsidR="00C170FD">
        <w:rPr>
          <w:sz w:val="24"/>
          <w:szCs w:val="24"/>
        </w:rPr>
        <w:t>.</w:t>
      </w:r>
    </w:p>
    <w:p w:rsidR="00B60D9F" w:rsidRDefault="00B60D9F" w:rsidP="00B60D9F">
      <w:pPr>
        <w:pStyle w:val="ListParagraph"/>
        <w:autoSpaceDE w:val="0"/>
        <w:autoSpaceDN w:val="0"/>
        <w:adjustRightInd w:val="0"/>
        <w:ind w:left="1800" w:right="1170"/>
        <w:jc w:val="both"/>
        <w:rPr>
          <w:sz w:val="24"/>
          <w:szCs w:val="24"/>
        </w:rPr>
      </w:pPr>
    </w:p>
    <w:p w:rsidR="00B60D9F" w:rsidRDefault="00B60D9F">
      <w:pPr>
        <w:rPr>
          <w:sz w:val="24"/>
          <w:szCs w:val="24"/>
        </w:rPr>
      </w:pPr>
      <w:r>
        <w:rPr>
          <w:sz w:val="24"/>
          <w:szCs w:val="24"/>
        </w:rPr>
        <w:br w:type="page"/>
      </w:r>
    </w:p>
    <w:p w:rsidR="00B60D9F" w:rsidRDefault="00B60D9F" w:rsidP="00AF7B92">
      <w:pPr>
        <w:pStyle w:val="Heading3"/>
      </w:pPr>
      <w:r w:rsidRPr="00B60D9F">
        <w:lastRenderedPageBreak/>
        <w:t xml:space="preserve">Examples of Items Excluded in Finance Charges (Part </w:t>
      </w:r>
      <w:r w:rsidR="00F623A5">
        <w:t>1026</w:t>
      </w:r>
      <w:r w:rsidRPr="00B60D9F">
        <w:t>.4):</w:t>
      </w:r>
    </w:p>
    <w:p w:rsidR="00B60D9F" w:rsidRDefault="00B60D9F" w:rsidP="00697175">
      <w:pPr>
        <w:pStyle w:val="ListParagraph"/>
        <w:autoSpaceDE w:val="0"/>
        <w:autoSpaceDN w:val="0"/>
        <w:adjustRightInd w:val="0"/>
        <w:ind w:left="1080" w:right="1170"/>
        <w:jc w:val="both"/>
        <w:rPr>
          <w:sz w:val="24"/>
          <w:szCs w:val="24"/>
          <w:u w:val="single"/>
        </w:rPr>
      </w:pPr>
    </w:p>
    <w:p w:rsidR="00B60D9F" w:rsidRDefault="00B60D9F" w:rsidP="00B60D9F">
      <w:pPr>
        <w:autoSpaceDE w:val="0"/>
        <w:autoSpaceDN w:val="0"/>
        <w:adjustRightInd w:val="0"/>
        <w:ind w:left="1080" w:right="1170"/>
        <w:rPr>
          <w:sz w:val="24"/>
          <w:szCs w:val="24"/>
        </w:rPr>
      </w:pPr>
      <w:r w:rsidRPr="00B60D9F">
        <w:rPr>
          <w:sz w:val="24"/>
          <w:szCs w:val="24"/>
        </w:rPr>
        <w:t>In general, excluded items include any charges that would be required by a comparable cash transaction as well as any charges absorbed by the lender or seller as an incentive for the borrower.</w:t>
      </w:r>
    </w:p>
    <w:p w:rsidR="00B60D9F" w:rsidRDefault="00B60D9F" w:rsidP="00B60D9F">
      <w:pPr>
        <w:autoSpaceDE w:val="0"/>
        <w:autoSpaceDN w:val="0"/>
        <w:adjustRightInd w:val="0"/>
        <w:ind w:left="1080" w:right="1170"/>
        <w:rPr>
          <w:sz w:val="24"/>
          <w:szCs w:val="24"/>
        </w:rPr>
      </w:pPr>
    </w:p>
    <w:p w:rsidR="00B60D9F" w:rsidRPr="00B60D9F" w:rsidRDefault="00B60D9F" w:rsidP="005212C7">
      <w:pPr>
        <w:pStyle w:val="ListParagraph"/>
        <w:numPr>
          <w:ilvl w:val="0"/>
          <w:numId w:val="13"/>
        </w:numPr>
        <w:autoSpaceDE w:val="0"/>
        <w:autoSpaceDN w:val="0"/>
        <w:adjustRightInd w:val="0"/>
        <w:ind w:right="1170"/>
        <w:rPr>
          <w:sz w:val="24"/>
          <w:szCs w:val="24"/>
        </w:rPr>
      </w:pPr>
      <w:r w:rsidRPr="00B60D9F">
        <w:rPr>
          <w:sz w:val="24"/>
          <w:szCs w:val="24"/>
        </w:rPr>
        <w:t xml:space="preserve">Application Fees. Fees charged to all applicants for credit, whether or not credit is actually extended. </w:t>
      </w:r>
    </w:p>
    <w:p w:rsidR="00B60D9F" w:rsidRPr="00B60D9F" w:rsidRDefault="00B60D9F" w:rsidP="005212C7">
      <w:pPr>
        <w:pStyle w:val="ListParagraph"/>
        <w:numPr>
          <w:ilvl w:val="0"/>
          <w:numId w:val="13"/>
        </w:numPr>
        <w:autoSpaceDE w:val="0"/>
        <w:autoSpaceDN w:val="0"/>
        <w:adjustRightInd w:val="0"/>
        <w:ind w:right="1170"/>
        <w:rPr>
          <w:sz w:val="24"/>
          <w:szCs w:val="24"/>
        </w:rPr>
      </w:pPr>
      <w:r w:rsidRPr="00B60D9F">
        <w:rPr>
          <w:sz w:val="24"/>
          <w:szCs w:val="24"/>
        </w:rPr>
        <w:t xml:space="preserve">Fees for Unanticipated Late Payment.  These are charges for actual unanticipated late payment, for exceeding a credit limit or for delinquency, default or a similar occurrence. </w:t>
      </w:r>
    </w:p>
    <w:p w:rsidR="00B60D9F" w:rsidRPr="00B60D9F" w:rsidRDefault="00B60D9F" w:rsidP="005212C7">
      <w:pPr>
        <w:pStyle w:val="ListParagraph"/>
        <w:numPr>
          <w:ilvl w:val="0"/>
          <w:numId w:val="13"/>
        </w:numPr>
        <w:autoSpaceDE w:val="0"/>
        <w:autoSpaceDN w:val="0"/>
        <w:adjustRightInd w:val="0"/>
        <w:ind w:right="1170"/>
        <w:rPr>
          <w:sz w:val="24"/>
          <w:szCs w:val="24"/>
        </w:rPr>
      </w:pPr>
      <w:r w:rsidRPr="00B60D9F">
        <w:rPr>
          <w:sz w:val="24"/>
          <w:szCs w:val="24"/>
        </w:rPr>
        <w:t>Overdraft Fees Not Agreed to in Writing. Charges imposed by a financial institution for paying items that overdraw an account, unless the payment of such items and the imposition of the charge were previously agreed upon in writing.  The reasoning behind this exclusion is that the borrower is in control of making sure that an account is not overdrawn.</w:t>
      </w:r>
    </w:p>
    <w:p w:rsidR="00B60D9F" w:rsidRPr="00B60D9F" w:rsidRDefault="00B60D9F" w:rsidP="005212C7">
      <w:pPr>
        <w:pStyle w:val="ListParagraph"/>
        <w:numPr>
          <w:ilvl w:val="0"/>
          <w:numId w:val="13"/>
        </w:numPr>
        <w:autoSpaceDE w:val="0"/>
        <w:autoSpaceDN w:val="0"/>
        <w:adjustRightInd w:val="0"/>
        <w:ind w:right="1170"/>
        <w:rPr>
          <w:sz w:val="24"/>
          <w:szCs w:val="24"/>
        </w:rPr>
      </w:pPr>
      <w:r w:rsidRPr="00B60D9F">
        <w:rPr>
          <w:sz w:val="24"/>
          <w:szCs w:val="24"/>
        </w:rPr>
        <w:t xml:space="preserve">Fees charged for participation in a credit plan, whether assessed on an annual or other periodic basis. </w:t>
      </w:r>
    </w:p>
    <w:p w:rsidR="00B60D9F" w:rsidRPr="00B60D9F" w:rsidRDefault="00B60D9F" w:rsidP="005212C7">
      <w:pPr>
        <w:pStyle w:val="ListParagraph"/>
        <w:numPr>
          <w:ilvl w:val="0"/>
          <w:numId w:val="13"/>
        </w:numPr>
        <w:autoSpaceDE w:val="0"/>
        <w:autoSpaceDN w:val="0"/>
        <w:adjustRightInd w:val="0"/>
        <w:ind w:right="1170"/>
        <w:rPr>
          <w:sz w:val="24"/>
          <w:szCs w:val="24"/>
        </w:rPr>
      </w:pPr>
      <w:r w:rsidRPr="00B60D9F">
        <w:rPr>
          <w:sz w:val="24"/>
          <w:szCs w:val="24"/>
        </w:rPr>
        <w:t xml:space="preserve">Seller's points. </w:t>
      </w:r>
    </w:p>
    <w:p w:rsidR="00B60D9F" w:rsidRPr="00B60D9F" w:rsidRDefault="00B60D9F" w:rsidP="005212C7">
      <w:pPr>
        <w:pStyle w:val="ListParagraph"/>
        <w:numPr>
          <w:ilvl w:val="0"/>
          <w:numId w:val="13"/>
        </w:numPr>
        <w:autoSpaceDE w:val="0"/>
        <w:autoSpaceDN w:val="0"/>
        <w:adjustRightInd w:val="0"/>
        <w:ind w:right="1170"/>
        <w:rPr>
          <w:sz w:val="24"/>
          <w:szCs w:val="24"/>
        </w:rPr>
      </w:pPr>
      <w:r w:rsidRPr="00B60D9F">
        <w:rPr>
          <w:sz w:val="24"/>
          <w:szCs w:val="24"/>
        </w:rPr>
        <w:t xml:space="preserve">Interest forfeited as a result of an interest reduction required by law on a time deposit used as security for an extension of credit. </w:t>
      </w:r>
    </w:p>
    <w:p w:rsidR="00B60D9F" w:rsidRPr="00B60D9F" w:rsidRDefault="00B60D9F" w:rsidP="005212C7">
      <w:pPr>
        <w:pStyle w:val="ListParagraph"/>
        <w:numPr>
          <w:ilvl w:val="0"/>
          <w:numId w:val="13"/>
        </w:numPr>
        <w:autoSpaceDE w:val="0"/>
        <w:autoSpaceDN w:val="0"/>
        <w:adjustRightInd w:val="0"/>
        <w:ind w:right="1170"/>
        <w:rPr>
          <w:sz w:val="24"/>
          <w:szCs w:val="24"/>
        </w:rPr>
      </w:pPr>
      <w:r w:rsidRPr="00B60D9F">
        <w:rPr>
          <w:sz w:val="24"/>
          <w:szCs w:val="24"/>
        </w:rPr>
        <w:t xml:space="preserve">Real-estate related fees. The following fees in a transaction secured by real property or in a residential mortgage transaction, if the fees are bona fide and reasonable in amount: </w:t>
      </w:r>
    </w:p>
    <w:p w:rsidR="00B60D9F" w:rsidRPr="00B60D9F" w:rsidRDefault="00B60D9F" w:rsidP="005212C7">
      <w:pPr>
        <w:pStyle w:val="ListParagraph"/>
        <w:numPr>
          <w:ilvl w:val="2"/>
          <w:numId w:val="14"/>
        </w:numPr>
        <w:autoSpaceDE w:val="0"/>
        <w:autoSpaceDN w:val="0"/>
        <w:adjustRightInd w:val="0"/>
        <w:ind w:right="1170"/>
        <w:jc w:val="both"/>
        <w:rPr>
          <w:sz w:val="24"/>
          <w:szCs w:val="24"/>
        </w:rPr>
      </w:pPr>
      <w:r w:rsidRPr="00B60D9F">
        <w:rPr>
          <w:sz w:val="24"/>
          <w:szCs w:val="24"/>
        </w:rPr>
        <w:t xml:space="preserve">Fees for title examination, abstract of title, title insurance, property survey, and similar purposes. </w:t>
      </w:r>
    </w:p>
    <w:p w:rsidR="00B60D9F" w:rsidRPr="00B60D9F" w:rsidRDefault="00B60D9F" w:rsidP="005212C7">
      <w:pPr>
        <w:pStyle w:val="ListParagraph"/>
        <w:numPr>
          <w:ilvl w:val="2"/>
          <w:numId w:val="14"/>
        </w:numPr>
        <w:autoSpaceDE w:val="0"/>
        <w:autoSpaceDN w:val="0"/>
        <w:adjustRightInd w:val="0"/>
        <w:ind w:right="1170"/>
        <w:jc w:val="both"/>
        <w:rPr>
          <w:sz w:val="24"/>
          <w:szCs w:val="24"/>
        </w:rPr>
      </w:pPr>
      <w:r w:rsidRPr="00B60D9F">
        <w:rPr>
          <w:sz w:val="24"/>
          <w:szCs w:val="24"/>
        </w:rPr>
        <w:t xml:space="preserve">Fees for preparing loan-related documents such as deeds, mortgages, and re-conveyance or settlement documents. </w:t>
      </w:r>
    </w:p>
    <w:p w:rsidR="00B60D9F" w:rsidRPr="00B60D9F" w:rsidRDefault="00B60D9F" w:rsidP="005212C7">
      <w:pPr>
        <w:pStyle w:val="ListParagraph"/>
        <w:numPr>
          <w:ilvl w:val="2"/>
          <w:numId w:val="14"/>
        </w:numPr>
        <w:autoSpaceDE w:val="0"/>
        <w:autoSpaceDN w:val="0"/>
        <w:adjustRightInd w:val="0"/>
        <w:ind w:right="1170"/>
        <w:jc w:val="both"/>
        <w:rPr>
          <w:sz w:val="24"/>
          <w:szCs w:val="24"/>
        </w:rPr>
      </w:pPr>
      <w:r w:rsidRPr="00B60D9F">
        <w:rPr>
          <w:sz w:val="24"/>
          <w:szCs w:val="24"/>
        </w:rPr>
        <w:t xml:space="preserve">Notary and </w:t>
      </w:r>
      <w:r w:rsidR="009B1B46" w:rsidRPr="00B60D9F">
        <w:rPr>
          <w:sz w:val="24"/>
          <w:szCs w:val="24"/>
        </w:rPr>
        <w:t>credit</w:t>
      </w:r>
      <w:r w:rsidR="009B1B46">
        <w:rPr>
          <w:sz w:val="24"/>
          <w:szCs w:val="24"/>
        </w:rPr>
        <w:t>-</w:t>
      </w:r>
      <w:r w:rsidRPr="00B60D9F">
        <w:rPr>
          <w:sz w:val="24"/>
          <w:szCs w:val="24"/>
        </w:rPr>
        <w:t xml:space="preserve">report fees. </w:t>
      </w:r>
    </w:p>
    <w:p w:rsidR="00B60D9F" w:rsidRPr="00B60D9F" w:rsidRDefault="00B60D9F" w:rsidP="005212C7">
      <w:pPr>
        <w:pStyle w:val="ListParagraph"/>
        <w:numPr>
          <w:ilvl w:val="2"/>
          <w:numId w:val="14"/>
        </w:numPr>
        <w:autoSpaceDE w:val="0"/>
        <w:autoSpaceDN w:val="0"/>
        <w:adjustRightInd w:val="0"/>
        <w:ind w:right="1170"/>
        <w:jc w:val="both"/>
        <w:rPr>
          <w:sz w:val="24"/>
          <w:szCs w:val="24"/>
        </w:rPr>
      </w:pPr>
      <w:r w:rsidRPr="00B60D9F">
        <w:rPr>
          <w:sz w:val="24"/>
          <w:szCs w:val="24"/>
        </w:rPr>
        <w:t xml:space="preserve">Property appraisal fees or fees for inspections to assess the value or condition of the property if the service is performed prior to closing, including fees related to pest infestation or flood hazard determinations. </w:t>
      </w:r>
    </w:p>
    <w:p w:rsidR="000E1709" w:rsidRDefault="00B60D9F" w:rsidP="005212C7">
      <w:pPr>
        <w:pStyle w:val="ListParagraph"/>
        <w:numPr>
          <w:ilvl w:val="2"/>
          <w:numId w:val="14"/>
        </w:numPr>
        <w:autoSpaceDE w:val="0"/>
        <w:autoSpaceDN w:val="0"/>
        <w:adjustRightInd w:val="0"/>
        <w:ind w:right="1170"/>
        <w:jc w:val="both"/>
        <w:rPr>
          <w:sz w:val="24"/>
          <w:szCs w:val="24"/>
        </w:rPr>
      </w:pPr>
      <w:r w:rsidRPr="00B60D9F">
        <w:rPr>
          <w:sz w:val="24"/>
          <w:szCs w:val="24"/>
        </w:rPr>
        <w:t>Amounts required to be paid into escrow or trustee accounts if the amounts would not otherwise be included in the finance charge.</w:t>
      </w:r>
    </w:p>
    <w:p w:rsidR="00B60D9F" w:rsidRPr="00B60D9F" w:rsidRDefault="00B60D9F" w:rsidP="005212C7">
      <w:pPr>
        <w:pStyle w:val="ListParagraph"/>
        <w:numPr>
          <w:ilvl w:val="0"/>
          <w:numId w:val="13"/>
        </w:numPr>
        <w:autoSpaceDE w:val="0"/>
        <w:autoSpaceDN w:val="0"/>
        <w:adjustRightInd w:val="0"/>
        <w:ind w:right="1170"/>
        <w:jc w:val="both"/>
        <w:rPr>
          <w:sz w:val="24"/>
          <w:szCs w:val="24"/>
        </w:rPr>
      </w:pPr>
      <w:r w:rsidRPr="00B60D9F">
        <w:rPr>
          <w:sz w:val="24"/>
          <w:szCs w:val="24"/>
        </w:rPr>
        <w:t>Discounts offered to induce payment for a purchase by cash or check</w:t>
      </w:r>
      <w:r w:rsidR="009B1B46">
        <w:rPr>
          <w:sz w:val="24"/>
          <w:szCs w:val="24"/>
        </w:rPr>
        <w:t>.</w:t>
      </w:r>
      <w:r w:rsidRPr="00B60D9F">
        <w:rPr>
          <w:sz w:val="24"/>
          <w:szCs w:val="24"/>
        </w:rPr>
        <w:t xml:space="preserve"> </w:t>
      </w:r>
    </w:p>
    <w:p w:rsidR="00B60D9F" w:rsidRPr="00B60D9F" w:rsidRDefault="00B60D9F" w:rsidP="005212C7">
      <w:pPr>
        <w:pStyle w:val="ListParagraph"/>
        <w:numPr>
          <w:ilvl w:val="0"/>
          <w:numId w:val="13"/>
        </w:numPr>
        <w:autoSpaceDE w:val="0"/>
        <w:autoSpaceDN w:val="0"/>
        <w:adjustRightInd w:val="0"/>
        <w:ind w:right="1170"/>
        <w:jc w:val="both"/>
        <w:rPr>
          <w:sz w:val="24"/>
          <w:szCs w:val="24"/>
        </w:rPr>
      </w:pPr>
      <w:r w:rsidRPr="00B60D9F">
        <w:rPr>
          <w:sz w:val="24"/>
          <w:szCs w:val="24"/>
        </w:rPr>
        <w:t xml:space="preserve">Certain security interest charges.  If itemized and disclosed, the following charges may be excluded from the finance charge: </w:t>
      </w:r>
    </w:p>
    <w:p w:rsidR="00B60D9F" w:rsidRPr="00B60D9F" w:rsidRDefault="00B60D9F" w:rsidP="005212C7">
      <w:pPr>
        <w:pStyle w:val="ListParagraph"/>
        <w:numPr>
          <w:ilvl w:val="0"/>
          <w:numId w:val="15"/>
        </w:numPr>
        <w:autoSpaceDE w:val="0"/>
        <w:autoSpaceDN w:val="0"/>
        <w:adjustRightInd w:val="0"/>
        <w:ind w:right="1170"/>
        <w:jc w:val="both"/>
        <w:rPr>
          <w:sz w:val="24"/>
          <w:szCs w:val="24"/>
        </w:rPr>
      </w:pPr>
      <w:r w:rsidRPr="00B60D9F">
        <w:rPr>
          <w:sz w:val="24"/>
          <w:szCs w:val="24"/>
        </w:rPr>
        <w:t xml:space="preserve">Taxes and fees prescribed by law that actually are or will be paid to public officials for determining the existence of or for perfecting, releasing, or satisfying a security interest. </w:t>
      </w:r>
    </w:p>
    <w:p w:rsidR="00B60D9F" w:rsidRPr="00B60D9F" w:rsidRDefault="00B60D9F" w:rsidP="005212C7">
      <w:pPr>
        <w:pStyle w:val="ListParagraph"/>
        <w:numPr>
          <w:ilvl w:val="0"/>
          <w:numId w:val="15"/>
        </w:numPr>
        <w:autoSpaceDE w:val="0"/>
        <w:autoSpaceDN w:val="0"/>
        <w:adjustRightInd w:val="0"/>
        <w:ind w:right="1170"/>
        <w:jc w:val="both"/>
        <w:rPr>
          <w:sz w:val="24"/>
          <w:szCs w:val="24"/>
        </w:rPr>
      </w:pPr>
      <w:r w:rsidRPr="00B60D9F">
        <w:rPr>
          <w:sz w:val="24"/>
          <w:szCs w:val="24"/>
        </w:rPr>
        <w:lastRenderedPageBreak/>
        <w:t xml:space="preserve">The premium for insurance in lieu of perfecting a security interest to the extent that the premium does not exceed the fees paid to public officials related to determining and releasing security interest. </w:t>
      </w:r>
    </w:p>
    <w:p w:rsidR="00B60D9F" w:rsidRDefault="00B60D9F" w:rsidP="005212C7">
      <w:pPr>
        <w:pStyle w:val="ListParagraph"/>
        <w:numPr>
          <w:ilvl w:val="0"/>
          <w:numId w:val="15"/>
        </w:numPr>
        <w:autoSpaceDE w:val="0"/>
        <w:autoSpaceDN w:val="0"/>
        <w:adjustRightInd w:val="0"/>
        <w:ind w:right="1170"/>
        <w:jc w:val="both"/>
        <w:rPr>
          <w:sz w:val="24"/>
          <w:szCs w:val="24"/>
        </w:rPr>
      </w:pPr>
      <w:r w:rsidRPr="00B60D9F">
        <w:rPr>
          <w:sz w:val="24"/>
          <w:szCs w:val="24"/>
        </w:rPr>
        <w:t>Taxes on security instruments. Any tax paid to public officials levied on security instruments or on documents evidencing indebtedness if the payment of such taxes is a requirement for recording the instrument securing the evidence of indebtedness.</w:t>
      </w:r>
    </w:p>
    <w:p w:rsidR="000E1709" w:rsidRDefault="000E1709">
      <w:pPr>
        <w:pStyle w:val="ListParagraph"/>
        <w:autoSpaceDE w:val="0"/>
        <w:autoSpaceDN w:val="0"/>
        <w:adjustRightInd w:val="0"/>
        <w:ind w:left="2160" w:right="1170"/>
        <w:jc w:val="both"/>
        <w:rPr>
          <w:sz w:val="24"/>
          <w:szCs w:val="24"/>
        </w:rPr>
      </w:pPr>
    </w:p>
    <w:p w:rsidR="005D2D4F" w:rsidRDefault="005D2D4F" w:rsidP="005D2D4F">
      <w:pPr>
        <w:autoSpaceDE w:val="0"/>
        <w:autoSpaceDN w:val="0"/>
        <w:adjustRightInd w:val="0"/>
        <w:ind w:right="1170"/>
        <w:jc w:val="both"/>
        <w:rPr>
          <w:sz w:val="24"/>
          <w:szCs w:val="24"/>
        </w:rPr>
      </w:pPr>
    </w:p>
    <w:p w:rsidR="005D2D4F" w:rsidRDefault="005D2D4F" w:rsidP="00F63060">
      <w:pPr>
        <w:pStyle w:val="Heading2"/>
      </w:pPr>
      <w:bookmarkStart w:id="10" w:name="_Toc393811627"/>
      <w:r w:rsidRPr="005D2D4F">
        <w:t xml:space="preserve">Amount Financed and Total Payments (Part </w:t>
      </w:r>
      <w:r w:rsidR="00F623A5">
        <w:t>1026</w:t>
      </w:r>
      <w:r w:rsidRPr="005D2D4F">
        <w:t>.18)</w:t>
      </w:r>
      <w:bookmarkEnd w:id="10"/>
    </w:p>
    <w:p w:rsidR="005D2D4F" w:rsidRDefault="005D2D4F" w:rsidP="005D2D4F">
      <w:pPr>
        <w:autoSpaceDE w:val="0"/>
        <w:autoSpaceDN w:val="0"/>
        <w:adjustRightInd w:val="0"/>
        <w:ind w:left="1080" w:right="1170"/>
        <w:jc w:val="both"/>
        <w:rPr>
          <w:sz w:val="24"/>
          <w:szCs w:val="24"/>
        </w:rPr>
      </w:pPr>
      <w:r w:rsidRPr="005D2D4F">
        <w:rPr>
          <w:sz w:val="24"/>
          <w:szCs w:val="24"/>
        </w:rPr>
        <w:t xml:space="preserve">The </w:t>
      </w:r>
      <w:r w:rsidRPr="005D2D4F">
        <w:rPr>
          <w:b/>
          <w:sz w:val="24"/>
          <w:szCs w:val="24"/>
        </w:rPr>
        <w:t>Amount Financed</w:t>
      </w:r>
      <w:r w:rsidRPr="005D2D4F">
        <w:rPr>
          <w:sz w:val="24"/>
          <w:szCs w:val="24"/>
        </w:rPr>
        <w:t xml:space="preserve"> is the net amount of credit extended for the consumer's use.  To calculate the amount financed, all amounts and charges connected with the </w:t>
      </w:r>
      <w:r>
        <w:rPr>
          <w:sz w:val="24"/>
          <w:szCs w:val="24"/>
        </w:rPr>
        <w:t>t</w:t>
      </w:r>
      <w:r w:rsidRPr="005D2D4F">
        <w:rPr>
          <w:sz w:val="24"/>
          <w:szCs w:val="24"/>
        </w:rPr>
        <w:t xml:space="preserve">ransaction, either paid separately by </w:t>
      </w:r>
      <w:r w:rsidR="009B1B46">
        <w:rPr>
          <w:sz w:val="24"/>
          <w:szCs w:val="24"/>
        </w:rPr>
        <w:t xml:space="preserve">the </w:t>
      </w:r>
      <w:r w:rsidRPr="005D2D4F">
        <w:rPr>
          <w:sz w:val="24"/>
          <w:szCs w:val="24"/>
        </w:rPr>
        <w:t xml:space="preserve">borrower or included in the note amount, must first be identified.  </w:t>
      </w:r>
      <w:r w:rsidR="009B1B46">
        <w:rPr>
          <w:sz w:val="24"/>
          <w:szCs w:val="24"/>
        </w:rPr>
        <w:t>The</w:t>
      </w:r>
      <w:r w:rsidRPr="005D2D4F">
        <w:rPr>
          <w:sz w:val="24"/>
          <w:szCs w:val="24"/>
        </w:rPr>
        <w:t xml:space="preserve"> note amount </w:t>
      </w:r>
      <w:r w:rsidR="009B1B46">
        <w:rPr>
          <w:sz w:val="24"/>
          <w:szCs w:val="24"/>
        </w:rPr>
        <w:t xml:space="preserve">must then be reduced </w:t>
      </w:r>
      <w:r w:rsidRPr="005D2D4F">
        <w:rPr>
          <w:sz w:val="24"/>
          <w:szCs w:val="24"/>
        </w:rPr>
        <w:t xml:space="preserve">by the total amount of the prepaid finance charge to determine the amount financed.  The amount financed must not include any finance charges. </w:t>
      </w:r>
    </w:p>
    <w:p w:rsidR="005D2D4F" w:rsidRPr="005D2D4F" w:rsidRDefault="005D2D4F" w:rsidP="005D2D4F">
      <w:pPr>
        <w:autoSpaceDE w:val="0"/>
        <w:autoSpaceDN w:val="0"/>
        <w:adjustRightInd w:val="0"/>
        <w:ind w:left="1080" w:right="1170"/>
        <w:rPr>
          <w:sz w:val="24"/>
          <w:szCs w:val="24"/>
        </w:rPr>
      </w:pPr>
    </w:p>
    <w:p w:rsidR="005D2D4F" w:rsidRPr="005D2D4F" w:rsidRDefault="005D2D4F" w:rsidP="005D2D4F">
      <w:pPr>
        <w:autoSpaceDE w:val="0"/>
        <w:autoSpaceDN w:val="0"/>
        <w:adjustRightInd w:val="0"/>
        <w:ind w:left="1080" w:right="1170"/>
        <w:jc w:val="both"/>
        <w:rPr>
          <w:sz w:val="24"/>
          <w:szCs w:val="24"/>
        </w:rPr>
      </w:pPr>
    </w:p>
    <w:p w:rsidR="005D2D4F" w:rsidRDefault="005D2D4F" w:rsidP="005D2D4F">
      <w:pPr>
        <w:autoSpaceDE w:val="0"/>
        <w:autoSpaceDN w:val="0"/>
        <w:adjustRightInd w:val="0"/>
        <w:ind w:left="1080" w:right="1170"/>
        <w:jc w:val="both"/>
        <w:rPr>
          <w:sz w:val="24"/>
          <w:szCs w:val="24"/>
        </w:rPr>
      </w:pPr>
      <w:r w:rsidRPr="005D2D4F">
        <w:rPr>
          <w:sz w:val="24"/>
          <w:szCs w:val="24"/>
        </w:rPr>
        <w:t>(</w:t>
      </w:r>
      <w:r w:rsidR="009B1B46">
        <w:rPr>
          <w:sz w:val="24"/>
          <w:szCs w:val="24"/>
        </w:rPr>
        <w:t>See</w:t>
      </w:r>
      <w:r w:rsidR="009B1B46" w:rsidRPr="005D2D4F">
        <w:rPr>
          <w:sz w:val="24"/>
          <w:szCs w:val="24"/>
        </w:rPr>
        <w:t xml:space="preserve"> </w:t>
      </w:r>
      <w:r w:rsidRPr="005D2D4F">
        <w:rPr>
          <w:sz w:val="24"/>
          <w:szCs w:val="24"/>
        </w:rPr>
        <w:t xml:space="preserve">Part </w:t>
      </w:r>
      <w:r w:rsidR="00F623A5">
        <w:rPr>
          <w:sz w:val="24"/>
          <w:szCs w:val="24"/>
        </w:rPr>
        <w:t>1026</w:t>
      </w:r>
      <w:r w:rsidRPr="005D2D4F">
        <w:rPr>
          <w:sz w:val="24"/>
          <w:szCs w:val="24"/>
        </w:rPr>
        <w:t xml:space="preserve">.4, </w:t>
      </w:r>
      <w:r w:rsidR="00F623A5">
        <w:rPr>
          <w:sz w:val="24"/>
          <w:szCs w:val="24"/>
        </w:rPr>
        <w:t>1026</w:t>
      </w:r>
      <w:r w:rsidRPr="005D2D4F">
        <w:rPr>
          <w:sz w:val="24"/>
          <w:szCs w:val="24"/>
        </w:rPr>
        <w:t xml:space="preserve">.18 and </w:t>
      </w:r>
      <w:r w:rsidR="0070722D" w:rsidRPr="005D2D4F">
        <w:rPr>
          <w:sz w:val="24"/>
          <w:szCs w:val="24"/>
        </w:rPr>
        <w:t>Appendi</w:t>
      </w:r>
      <w:r w:rsidR="0070722D">
        <w:rPr>
          <w:sz w:val="24"/>
          <w:szCs w:val="24"/>
        </w:rPr>
        <w:t>ces</w:t>
      </w:r>
      <w:r w:rsidR="0070722D" w:rsidRPr="005D2D4F">
        <w:rPr>
          <w:sz w:val="24"/>
          <w:szCs w:val="24"/>
        </w:rPr>
        <w:t xml:space="preserve"> </w:t>
      </w:r>
      <w:r w:rsidRPr="005D2D4F">
        <w:rPr>
          <w:sz w:val="24"/>
          <w:szCs w:val="24"/>
        </w:rPr>
        <w:t>F, J and L for more information).</w:t>
      </w:r>
    </w:p>
    <w:p w:rsidR="005D2D4F" w:rsidRDefault="005D2D4F" w:rsidP="005D2D4F">
      <w:pPr>
        <w:autoSpaceDE w:val="0"/>
        <w:autoSpaceDN w:val="0"/>
        <w:adjustRightInd w:val="0"/>
        <w:ind w:left="1080" w:right="1170"/>
        <w:jc w:val="both"/>
        <w:rPr>
          <w:sz w:val="24"/>
          <w:szCs w:val="24"/>
        </w:rPr>
      </w:pPr>
    </w:p>
    <w:p w:rsidR="005D2D4F" w:rsidRDefault="005D2D4F" w:rsidP="005D2D4F">
      <w:pPr>
        <w:autoSpaceDE w:val="0"/>
        <w:autoSpaceDN w:val="0"/>
        <w:adjustRightInd w:val="0"/>
        <w:ind w:left="1080" w:right="1170"/>
        <w:jc w:val="both"/>
        <w:rPr>
          <w:sz w:val="24"/>
          <w:szCs w:val="24"/>
        </w:rPr>
      </w:pPr>
    </w:p>
    <w:p w:rsidR="005D2D4F" w:rsidRDefault="005D2D4F" w:rsidP="00F63060">
      <w:pPr>
        <w:pStyle w:val="Heading2"/>
      </w:pPr>
      <w:bookmarkStart w:id="11" w:name="_Toc393811628"/>
      <w:r w:rsidRPr="005D2D4F">
        <w:t xml:space="preserve">Accuracy Tolerance for Closed-End Credits (Part </w:t>
      </w:r>
      <w:r w:rsidR="00F623A5">
        <w:t>1026</w:t>
      </w:r>
      <w:r w:rsidRPr="005D2D4F">
        <w:t>.18</w:t>
      </w:r>
      <w:r w:rsidR="0070754C">
        <w:t>(</w:t>
      </w:r>
      <w:r w:rsidRPr="005D2D4F">
        <w:t>d)</w:t>
      </w:r>
      <w:r w:rsidR="0070754C">
        <w:t>)</w:t>
      </w:r>
      <w:bookmarkEnd w:id="11"/>
    </w:p>
    <w:p w:rsidR="005D2D4F" w:rsidRDefault="005D2D4F" w:rsidP="005D2D4F">
      <w:pPr>
        <w:autoSpaceDE w:val="0"/>
        <w:autoSpaceDN w:val="0"/>
        <w:adjustRightInd w:val="0"/>
        <w:ind w:left="1080" w:right="1170"/>
        <w:jc w:val="both"/>
        <w:rPr>
          <w:sz w:val="24"/>
          <w:szCs w:val="24"/>
        </w:rPr>
      </w:pPr>
      <w:r w:rsidRPr="005D2D4F">
        <w:rPr>
          <w:sz w:val="24"/>
          <w:szCs w:val="24"/>
        </w:rPr>
        <w:t xml:space="preserve">Under TILA and Regulation Z, finance charge disclosures for open-end credit must be accurate since there is no tolerance for finance charge errors. </w:t>
      </w:r>
    </w:p>
    <w:p w:rsidR="005D2D4F" w:rsidRPr="005D2D4F" w:rsidRDefault="005D2D4F" w:rsidP="005D2D4F">
      <w:pPr>
        <w:autoSpaceDE w:val="0"/>
        <w:autoSpaceDN w:val="0"/>
        <w:adjustRightInd w:val="0"/>
        <w:ind w:left="1080" w:right="1170"/>
        <w:rPr>
          <w:sz w:val="24"/>
          <w:szCs w:val="24"/>
        </w:rPr>
      </w:pPr>
    </w:p>
    <w:p w:rsidR="005D2D4F" w:rsidRDefault="005D2D4F" w:rsidP="005D2D4F">
      <w:pPr>
        <w:autoSpaceDE w:val="0"/>
        <w:autoSpaceDN w:val="0"/>
        <w:adjustRightInd w:val="0"/>
        <w:ind w:left="1080" w:right="1170"/>
        <w:jc w:val="both"/>
        <w:rPr>
          <w:sz w:val="24"/>
          <w:szCs w:val="24"/>
        </w:rPr>
      </w:pPr>
      <w:r w:rsidRPr="005D2D4F">
        <w:rPr>
          <w:sz w:val="24"/>
          <w:szCs w:val="24"/>
        </w:rPr>
        <w:t xml:space="preserve">Tolerances for the finance charge in a closed-end transaction are generally $5 if the amount financed is less than or equal to $1,000 and $10 if the amount financed exceeds $1,000. Tolerances for certain transactions consummated on or after September 30, 1995 are noted below. </w:t>
      </w:r>
    </w:p>
    <w:p w:rsidR="005D2D4F" w:rsidRPr="005D2D4F" w:rsidRDefault="005D2D4F" w:rsidP="005D2D4F">
      <w:pPr>
        <w:autoSpaceDE w:val="0"/>
        <w:autoSpaceDN w:val="0"/>
        <w:adjustRightInd w:val="0"/>
        <w:ind w:left="1080" w:right="1170"/>
        <w:rPr>
          <w:sz w:val="24"/>
          <w:szCs w:val="24"/>
        </w:rPr>
      </w:pPr>
    </w:p>
    <w:p w:rsidR="001B4357" w:rsidRDefault="005D2D4F" w:rsidP="005212C7">
      <w:pPr>
        <w:pStyle w:val="ListParagraph"/>
        <w:numPr>
          <w:ilvl w:val="1"/>
          <w:numId w:val="48"/>
        </w:numPr>
        <w:shd w:val="clear" w:color="auto" w:fill="FFFFFF"/>
        <w:autoSpaceDE w:val="0"/>
        <w:autoSpaceDN w:val="0"/>
        <w:adjustRightInd w:val="0"/>
        <w:ind w:left="1080" w:right="1170" w:firstLine="0"/>
        <w:jc w:val="both"/>
        <w:rPr>
          <w:rFonts w:ascii="Arial" w:hAnsi="Arial" w:cs="Arial"/>
          <w:color w:val="000000"/>
          <w:sz w:val="20"/>
          <w:szCs w:val="20"/>
        </w:rPr>
      </w:pPr>
      <w:r w:rsidRPr="001B4357">
        <w:rPr>
          <w:b/>
          <w:sz w:val="24"/>
          <w:szCs w:val="24"/>
        </w:rPr>
        <w:t>Mortgage secured by a dwelling (closed-end credit only):</w:t>
      </w:r>
      <w:r w:rsidRPr="005D2D4F">
        <w:rPr>
          <w:sz w:val="24"/>
          <w:szCs w:val="24"/>
        </w:rPr>
        <w:t xml:space="preserve">  </w:t>
      </w:r>
      <w:r w:rsidR="00AB04FF">
        <w:rPr>
          <w:sz w:val="24"/>
          <w:szCs w:val="24"/>
        </w:rPr>
        <w:t>T</w:t>
      </w:r>
      <w:r w:rsidR="00AB04FF" w:rsidRPr="00AB04FF">
        <w:rPr>
          <w:sz w:val="24"/>
          <w:szCs w:val="24"/>
        </w:rPr>
        <w:t>he disclosed finance charge and other disclosures affected by the disclosed finance charge (including the amount financed and the annual percentage rate)</w:t>
      </w:r>
      <w:r w:rsidR="00EE0433">
        <w:rPr>
          <w:sz w:val="24"/>
          <w:szCs w:val="24"/>
        </w:rPr>
        <w:t xml:space="preserve"> </w:t>
      </w:r>
      <w:r w:rsidR="00FF6F72">
        <w:rPr>
          <w:sz w:val="24"/>
          <w:szCs w:val="24"/>
        </w:rPr>
        <w:t>are considered</w:t>
      </w:r>
      <w:r w:rsidR="00AB04FF" w:rsidRPr="00AB04FF">
        <w:rPr>
          <w:sz w:val="24"/>
          <w:szCs w:val="24"/>
        </w:rPr>
        <w:t xml:space="preserve"> accurate if the amount </w:t>
      </w:r>
      <w:r w:rsidR="00AB04FF">
        <w:rPr>
          <w:sz w:val="24"/>
          <w:szCs w:val="24"/>
        </w:rPr>
        <w:t xml:space="preserve">disclosed as the finance charge is either </w:t>
      </w:r>
      <w:r w:rsidR="00944995" w:rsidRPr="00944995">
        <w:rPr>
          <w:sz w:val="24"/>
          <w:szCs w:val="24"/>
        </w:rPr>
        <w:t>u</w:t>
      </w:r>
      <w:r w:rsidR="00AB04FF" w:rsidRPr="00AB04FF">
        <w:rPr>
          <w:sz w:val="24"/>
          <w:szCs w:val="24"/>
        </w:rPr>
        <w:t>nderstated by no more than $100</w:t>
      </w:r>
      <w:r w:rsidR="00944995" w:rsidRPr="00944995">
        <w:rPr>
          <w:sz w:val="24"/>
          <w:szCs w:val="24"/>
        </w:rPr>
        <w:t xml:space="preserve"> or</w:t>
      </w:r>
      <w:r w:rsidR="00AB04FF">
        <w:rPr>
          <w:sz w:val="24"/>
          <w:szCs w:val="24"/>
        </w:rPr>
        <w:t xml:space="preserve"> </w:t>
      </w:r>
      <w:r w:rsidR="00AB04FF">
        <w:rPr>
          <w:sz w:val="24"/>
          <w:szCs w:val="24"/>
        </w:rPr>
        <w:lastRenderedPageBreak/>
        <w:t>i</w:t>
      </w:r>
      <w:r w:rsidR="00944995" w:rsidRPr="00944995">
        <w:rPr>
          <w:sz w:val="24"/>
          <w:szCs w:val="24"/>
        </w:rPr>
        <w:t>s greater than the amount required to be disclosed.</w:t>
      </w:r>
      <w:r w:rsidR="00AB04FF">
        <w:rPr>
          <w:sz w:val="24"/>
          <w:szCs w:val="24"/>
        </w:rPr>
        <w:t xml:space="preserve"> </w:t>
      </w:r>
      <w:r w:rsidR="00944995" w:rsidRPr="00944995">
        <w:rPr>
          <w:sz w:val="24"/>
          <w:szCs w:val="24"/>
        </w:rPr>
        <w:t>Overstatements are not violations.</w:t>
      </w:r>
      <w:r w:rsidR="00F81A6C">
        <w:rPr>
          <w:rStyle w:val="FootnoteReference"/>
          <w:sz w:val="24"/>
          <w:szCs w:val="24"/>
        </w:rPr>
        <w:footnoteReference w:id="4"/>
      </w:r>
      <w:r w:rsidR="001B4357" w:rsidRPr="001B4357">
        <w:rPr>
          <w:rFonts w:ascii="Arial" w:hAnsi="Arial" w:cs="Arial"/>
          <w:color w:val="000000"/>
          <w:sz w:val="20"/>
          <w:szCs w:val="20"/>
        </w:rPr>
        <w:t xml:space="preserve"> </w:t>
      </w:r>
    </w:p>
    <w:p w:rsidR="001B4357" w:rsidRPr="001B4357" w:rsidRDefault="001B4357" w:rsidP="001B4357">
      <w:pPr>
        <w:pStyle w:val="ListParagraph"/>
        <w:shd w:val="clear" w:color="auto" w:fill="FFFFFF"/>
        <w:autoSpaceDE w:val="0"/>
        <w:autoSpaceDN w:val="0"/>
        <w:adjustRightInd w:val="0"/>
        <w:ind w:left="1080" w:right="1170"/>
        <w:jc w:val="both"/>
        <w:rPr>
          <w:rFonts w:ascii="Arial" w:hAnsi="Arial" w:cs="Arial"/>
          <w:color w:val="000000"/>
          <w:sz w:val="20"/>
          <w:szCs w:val="20"/>
        </w:rPr>
      </w:pPr>
    </w:p>
    <w:p w:rsidR="001B4357" w:rsidRDefault="00AE2DFB" w:rsidP="005212C7">
      <w:pPr>
        <w:pStyle w:val="ListParagraph"/>
        <w:numPr>
          <w:ilvl w:val="1"/>
          <w:numId w:val="48"/>
        </w:numPr>
        <w:shd w:val="clear" w:color="auto" w:fill="FFFFFF"/>
        <w:autoSpaceDE w:val="0"/>
        <w:autoSpaceDN w:val="0"/>
        <w:adjustRightInd w:val="0"/>
        <w:ind w:left="1080" w:right="1170" w:firstLine="0"/>
        <w:jc w:val="both"/>
        <w:rPr>
          <w:rFonts w:asciiTheme="minorHAnsi" w:hAnsiTheme="minorHAnsi" w:cs="Arial"/>
          <w:color w:val="000000"/>
        </w:rPr>
      </w:pPr>
      <w:r w:rsidRPr="001B4357">
        <w:rPr>
          <w:b/>
        </w:rPr>
        <w:t>Rescission rights after the three business day rescission period</w:t>
      </w:r>
      <w:r>
        <w:t xml:space="preserve"> (closed-end credit only):    </w:t>
      </w:r>
      <w:r w:rsidR="007A59D1">
        <w:t>T</w:t>
      </w:r>
      <w:r w:rsidR="007A59D1" w:rsidRPr="001B4357">
        <w:t xml:space="preserve">he finance charge and other disclosures affected by the finance charge (such as the amount financed and the annual percentage rate) </w:t>
      </w:r>
      <w:r w:rsidR="007A59D1">
        <w:t>are</w:t>
      </w:r>
      <w:r w:rsidR="007A59D1" w:rsidRPr="001B4357">
        <w:t xml:space="preserve"> considered accurate if the disclosed finance charge</w:t>
      </w:r>
      <w:r w:rsidR="007A59D1">
        <w:t xml:space="preserve"> i</w:t>
      </w:r>
      <w:r>
        <w:t xml:space="preserve">s </w:t>
      </w:r>
      <w:r w:rsidR="00733621">
        <w:t xml:space="preserve">either </w:t>
      </w:r>
      <w:r>
        <w:t xml:space="preserve">understated by no more than .50% of 1 percent of the face amount of the note or $100, whichever is greater; or </w:t>
      </w:r>
      <w:r w:rsidR="007A59D1">
        <w:t>is</w:t>
      </w:r>
      <w:r>
        <w:t xml:space="preserve"> greater than the amount required to be disclosed.</w:t>
      </w:r>
      <w:r w:rsidR="007A59D1">
        <w:t xml:space="preserve"> Overstatements are not violations.</w:t>
      </w:r>
      <w:r w:rsidR="00F808A2">
        <w:rPr>
          <w:rStyle w:val="FootnoteReference"/>
        </w:rPr>
        <w:footnoteReference w:id="5"/>
      </w:r>
      <w:r w:rsidR="001B4357" w:rsidRPr="001B4357">
        <w:rPr>
          <w:rFonts w:asciiTheme="minorHAnsi" w:hAnsiTheme="minorHAnsi" w:cs="Arial"/>
          <w:color w:val="000000"/>
        </w:rPr>
        <w:t xml:space="preserve"> </w:t>
      </w:r>
    </w:p>
    <w:p w:rsidR="001B4357" w:rsidRDefault="001B4357" w:rsidP="001B4357">
      <w:pPr>
        <w:pStyle w:val="ListParagraph"/>
      </w:pPr>
    </w:p>
    <w:p w:rsidR="001B4357" w:rsidRPr="001B4357" w:rsidRDefault="00944995" w:rsidP="005212C7">
      <w:pPr>
        <w:pStyle w:val="ListParagraph"/>
        <w:numPr>
          <w:ilvl w:val="1"/>
          <w:numId w:val="48"/>
        </w:numPr>
        <w:shd w:val="clear" w:color="auto" w:fill="FFFFFF"/>
        <w:autoSpaceDE w:val="0"/>
        <w:autoSpaceDN w:val="0"/>
        <w:adjustRightInd w:val="0"/>
        <w:ind w:left="1080" w:right="1170" w:firstLine="0"/>
        <w:jc w:val="both"/>
        <w:rPr>
          <w:rFonts w:asciiTheme="minorHAnsi" w:hAnsiTheme="minorHAnsi" w:cs="Arial"/>
          <w:color w:val="000000"/>
        </w:rPr>
      </w:pPr>
      <w:r w:rsidRPr="001B4357">
        <w:t>For a refinancing of a mortgage with a new creditor</w:t>
      </w:r>
      <w:r w:rsidR="00733621" w:rsidRPr="001B4357">
        <w:t>,</w:t>
      </w:r>
      <w:r w:rsidRPr="001B4357">
        <w:t xml:space="preserve"> a</w:t>
      </w:r>
      <w:r w:rsidR="00C20362" w:rsidRPr="001B4357">
        <w:t>s</w:t>
      </w:r>
      <w:r w:rsidRPr="001B4357">
        <w:t xml:space="preserve"> long as there is no </w:t>
      </w:r>
      <w:r w:rsidR="00C20362" w:rsidRPr="001B4357">
        <w:t>cash out</w:t>
      </w:r>
      <w:r w:rsidRPr="001B4357">
        <w:t xml:space="preserve"> and no consolidation of existing loans, the finance charge and other disclosures affected by the finance charge (such as the amount financed and the annual percentage rate) are considered accurate if the disclosed finance charge is understated by no more than 1 percent of the face amount of the note or $100, whichever is greater</w:t>
      </w:r>
      <w:r w:rsidR="00733621" w:rsidRPr="001B4357">
        <w:t>;</w:t>
      </w:r>
      <w:r w:rsidRPr="001B4357">
        <w:t xml:space="preserve"> or is greater than the amount required to be disclosed.</w:t>
      </w:r>
      <w:r w:rsidR="00F808A2" w:rsidRPr="001B4357">
        <w:rPr>
          <w:vertAlign w:val="superscript"/>
        </w:rPr>
        <w:footnoteReference w:id="6"/>
      </w:r>
    </w:p>
    <w:p w:rsidR="001B4357" w:rsidRDefault="001B4357" w:rsidP="001B4357">
      <w:pPr>
        <w:pStyle w:val="ListParagraph"/>
      </w:pPr>
    </w:p>
    <w:p w:rsidR="001B4357" w:rsidRPr="001B4357" w:rsidRDefault="001B4357" w:rsidP="005212C7">
      <w:pPr>
        <w:pStyle w:val="ListParagraph"/>
        <w:numPr>
          <w:ilvl w:val="1"/>
          <w:numId w:val="48"/>
        </w:numPr>
        <w:shd w:val="clear" w:color="auto" w:fill="FFFFFF"/>
        <w:autoSpaceDE w:val="0"/>
        <w:autoSpaceDN w:val="0"/>
        <w:adjustRightInd w:val="0"/>
        <w:ind w:left="1080" w:right="1170" w:firstLine="0"/>
        <w:jc w:val="both"/>
        <w:rPr>
          <w:rFonts w:asciiTheme="minorHAnsi" w:hAnsiTheme="minorHAnsi" w:cs="Arial"/>
          <w:color w:val="000000"/>
        </w:rPr>
      </w:pPr>
      <w:r w:rsidRPr="001B4357">
        <w:t xml:space="preserve"> </w:t>
      </w:r>
      <w:r w:rsidR="00C20362" w:rsidRPr="001B4357">
        <w:t>If the required finance charge disclosures are out of tolerance or disclosures are not delivered, the right to rescind is extended to three years.</w:t>
      </w:r>
      <w:r w:rsidR="00C20362" w:rsidRPr="001B4357">
        <w:rPr>
          <w:vertAlign w:val="superscript"/>
        </w:rPr>
        <w:footnoteReference w:id="7"/>
      </w:r>
      <w:r w:rsidRPr="001B4357">
        <w:rPr>
          <w:vertAlign w:val="superscript"/>
        </w:rPr>
        <w:t xml:space="preserve"> </w:t>
      </w:r>
    </w:p>
    <w:p w:rsidR="001B4357" w:rsidRDefault="001B4357" w:rsidP="001B4357">
      <w:pPr>
        <w:pStyle w:val="ListParagraph"/>
      </w:pPr>
    </w:p>
    <w:p w:rsidR="00944995" w:rsidRPr="001B4357" w:rsidRDefault="00AE2DFB" w:rsidP="005212C7">
      <w:pPr>
        <w:pStyle w:val="ListParagraph"/>
        <w:numPr>
          <w:ilvl w:val="1"/>
          <w:numId w:val="48"/>
        </w:numPr>
        <w:shd w:val="clear" w:color="auto" w:fill="FFFFFF"/>
        <w:autoSpaceDE w:val="0"/>
        <w:autoSpaceDN w:val="0"/>
        <w:adjustRightInd w:val="0"/>
        <w:ind w:left="1080" w:right="1170" w:firstLine="0"/>
        <w:jc w:val="both"/>
        <w:rPr>
          <w:rFonts w:asciiTheme="minorHAnsi" w:hAnsiTheme="minorHAnsi" w:cs="Arial"/>
          <w:color w:val="000000"/>
        </w:rPr>
      </w:pPr>
      <w:r w:rsidRPr="001B4357">
        <w:t xml:space="preserve">Rescission rights in foreclosure: In general, the finance charge and other disclosures affected by the finance charge </w:t>
      </w:r>
      <w:r w:rsidR="00733621" w:rsidRPr="001B4357">
        <w:t>will</w:t>
      </w:r>
      <w:r w:rsidRPr="001B4357">
        <w:t xml:space="preserve"> be considered accurate if the disclosed finance charge is understated by no more than $35. Overstatements are not considered violations. Also, the consumer </w:t>
      </w:r>
      <w:r w:rsidR="00944995" w:rsidRPr="001B4357">
        <w:t>has the right to rescind the transaction if a mortgage broker fee that should have been included in the finance charge was not included or if the creditor did not provide the properly completed notice of rescission.</w:t>
      </w:r>
      <w:r w:rsidR="00F11A80" w:rsidRPr="001B4357">
        <w:rPr>
          <w:vertAlign w:val="superscript"/>
        </w:rPr>
        <w:footnoteReference w:id="8"/>
      </w:r>
    </w:p>
    <w:p w:rsidR="00944995" w:rsidRPr="00944995" w:rsidRDefault="00944995" w:rsidP="005212C7">
      <w:pPr>
        <w:pStyle w:val="ListParagraph"/>
        <w:numPr>
          <w:ilvl w:val="1"/>
          <w:numId w:val="48"/>
        </w:numPr>
        <w:rPr>
          <w:sz w:val="24"/>
          <w:szCs w:val="24"/>
        </w:rPr>
      </w:pPr>
      <w:r w:rsidRPr="00944995">
        <w:rPr>
          <w:sz w:val="24"/>
          <w:szCs w:val="24"/>
        </w:rPr>
        <w:br w:type="page"/>
      </w:r>
    </w:p>
    <w:p w:rsidR="00CB666A" w:rsidRDefault="00CB666A" w:rsidP="00CB666A">
      <w:pPr>
        <w:autoSpaceDE w:val="0"/>
        <w:autoSpaceDN w:val="0"/>
        <w:adjustRightInd w:val="0"/>
        <w:ind w:left="1080" w:right="1170"/>
        <w:jc w:val="center"/>
        <w:rPr>
          <w:sz w:val="24"/>
          <w:szCs w:val="24"/>
        </w:rPr>
        <w:sectPr w:rsidR="00CB666A" w:rsidSect="00491C63">
          <w:headerReference w:type="default" r:id="rId19"/>
          <w:pgSz w:w="12240" w:h="15840"/>
          <w:pgMar w:top="1440" w:right="720" w:bottom="1440" w:left="720" w:header="720" w:footer="720" w:gutter="0"/>
          <w:cols w:space="720"/>
          <w:docGrid w:linePitch="360"/>
        </w:sectPr>
      </w:pPr>
    </w:p>
    <w:p w:rsidR="00CB666A" w:rsidRDefault="00CB666A" w:rsidP="00AF7B92">
      <w:pPr>
        <w:pStyle w:val="Heading1"/>
      </w:pPr>
      <w:bookmarkStart w:id="12" w:name="_Toc393811629"/>
      <w:r w:rsidRPr="00CB666A">
        <w:lastRenderedPageBreak/>
        <w:t xml:space="preserve">Initial Early Disclosure Requirements (Part </w:t>
      </w:r>
      <w:r w:rsidR="00F623A5">
        <w:t>1026</w:t>
      </w:r>
      <w:r w:rsidRPr="00CB666A">
        <w:t xml:space="preserve">.6 or </w:t>
      </w:r>
      <w:r w:rsidR="00F623A5">
        <w:t>1026</w:t>
      </w:r>
      <w:r w:rsidRPr="00CB666A">
        <w:t>.18)</w:t>
      </w:r>
      <w:bookmarkEnd w:id="12"/>
    </w:p>
    <w:p w:rsidR="00CB666A" w:rsidRDefault="00CB666A" w:rsidP="00CB666A">
      <w:pPr>
        <w:autoSpaceDE w:val="0"/>
        <w:autoSpaceDN w:val="0"/>
        <w:adjustRightInd w:val="0"/>
        <w:ind w:left="1080" w:right="1170"/>
        <w:jc w:val="both"/>
        <w:rPr>
          <w:sz w:val="24"/>
          <w:szCs w:val="24"/>
        </w:rPr>
      </w:pPr>
      <w:r w:rsidRPr="00CB666A">
        <w:rPr>
          <w:sz w:val="24"/>
          <w:szCs w:val="24"/>
        </w:rPr>
        <w:t xml:space="preserve">Part </w:t>
      </w:r>
      <w:r w:rsidR="00F623A5">
        <w:rPr>
          <w:sz w:val="24"/>
          <w:szCs w:val="24"/>
        </w:rPr>
        <w:t>1026</w:t>
      </w:r>
      <w:r w:rsidRPr="00CB666A">
        <w:rPr>
          <w:sz w:val="24"/>
          <w:szCs w:val="24"/>
        </w:rPr>
        <w:t xml:space="preserve">.6 of TILA requires specific details of a credit transaction to be disclosed to an applicant upon receipt of an application.  The initial disclosure made to the applicant is often captured in what is called the </w:t>
      </w:r>
      <w:r w:rsidRPr="00CB666A">
        <w:rPr>
          <w:b/>
          <w:sz w:val="24"/>
          <w:szCs w:val="24"/>
        </w:rPr>
        <w:t>TILA Disclosure</w:t>
      </w:r>
      <w:r w:rsidRPr="00CB666A">
        <w:rPr>
          <w:sz w:val="24"/>
          <w:szCs w:val="24"/>
        </w:rPr>
        <w:t xml:space="preserve"> document.  This document is usually included with the </w:t>
      </w:r>
      <w:r w:rsidR="00D02C40">
        <w:rPr>
          <w:sz w:val="24"/>
          <w:szCs w:val="24"/>
        </w:rPr>
        <w:t xml:space="preserve">RESPA </w:t>
      </w:r>
      <w:r w:rsidRPr="00CB666A">
        <w:rPr>
          <w:sz w:val="24"/>
          <w:szCs w:val="24"/>
        </w:rPr>
        <w:t xml:space="preserve">Good Faith Estimate (GFE) document </w:t>
      </w:r>
      <w:r w:rsidR="00D02C40">
        <w:rPr>
          <w:sz w:val="24"/>
          <w:szCs w:val="24"/>
        </w:rPr>
        <w:t>and delivered to the borrower(s) as required</w:t>
      </w:r>
      <w:r w:rsidRPr="00CB666A">
        <w:rPr>
          <w:sz w:val="24"/>
          <w:szCs w:val="24"/>
        </w:rPr>
        <w:t xml:space="preserve">.  The requirement of the TILA document is the best known part of TILA.  </w:t>
      </w:r>
    </w:p>
    <w:p w:rsidR="00862599" w:rsidRDefault="00862599" w:rsidP="00CB666A">
      <w:pPr>
        <w:autoSpaceDE w:val="0"/>
        <w:autoSpaceDN w:val="0"/>
        <w:adjustRightInd w:val="0"/>
        <w:ind w:left="1080" w:right="1170"/>
        <w:jc w:val="both"/>
        <w:rPr>
          <w:sz w:val="24"/>
          <w:szCs w:val="24"/>
        </w:rPr>
      </w:pPr>
      <w:r>
        <w:rPr>
          <w:sz w:val="24"/>
          <w:szCs w:val="24"/>
        </w:rPr>
        <w:t>The TILA disclosure can be delivered in person or electronically</w:t>
      </w:r>
      <w:r w:rsidR="00830486">
        <w:rPr>
          <w:sz w:val="24"/>
          <w:szCs w:val="24"/>
        </w:rPr>
        <w:t xml:space="preserve">, or by mail subject to the timing requirements we will discuss below. </w:t>
      </w:r>
      <w:r>
        <w:rPr>
          <w:sz w:val="24"/>
          <w:szCs w:val="24"/>
        </w:rPr>
        <w:t>If there is more than one borrower, for a transaction not subject to rescission</w:t>
      </w:r>
      <w:r w:rsidR="0037620F">
        <w:rPr>
          <w:sz w:val="24"/>
          <w:szCs w:val="24"/>
        </w:rPr>
        <w:t xml:space="preserve"> (like an owner occupied purchase)</w:t>
      </w:r>
      <w:r>
        <w:rPr>
          <w:sz w:val="24"/>
          <w:szCs w:val="24"/>
        </w:rPr>
        <w:t xml:space="preserve">, the disclosure can be delivered to any borrower who is primarily responsible for the loan.  </w:t>
      </w:r>
      <w:proofErr w:type="gramStart"/>
      <w:r>
        <w:rPr>
          <w:sz w:val="24"/>
          <w:szCs w:val="24"/>
        </w:rPr>
        <w:t>However</w:t>
      </w:r>
      <w:r w:rsidR="00173C25">
        <w:rPr>
          <w:sz w:val="24"/>
          <w:szCs w:val="24"/>
        </w:rPr>
        <w:t>,</w:t>
      </w:r>
      <w:r>
        <w:rPr>
          <w:sz w:val="24"/>
          <w:szCs w:val="24"/>
        </w:rPr>
        <w:t xml:space="preserve"> for a transaction subject to rescission</w:t>
      </w:r>
      <w:r w:rsidR="0037620F">
        <w:rPr>
          <w:sz w:val="24"/>
          <w:szCs w:val="24"/>
        </w:rPr>
        <w:t xml:space="preserve"> (</w:t>
      </w:r>
      <w:r w:rsidR="00040EFD">
        <w:rPr>
          <w:sz w:val="24"/>
          <w:szCs w:val="24"/>
        </w:rPr>
        <w:t xml:space="preserve">like </w:t>
      </w:r>
      <w:r w:rsidR="0037620F">
        <w:rPr>
          <w:sz w:val="24"/>
          <w:szCs w:val="24"/>
        </w:rPr>
        <w:t>an investment purchase or some refinances)</w:t>
      </w:r>
      <w:r>
        <w:rPr>
          <w:sz w:val="24"/>
          <w:szCs w:val="24"/>
        </w:rPr>
        <w:t>, the disclosure must be given to every borrower who has the right to rescind.</w:t>
      </w:r>
      <w:proofErr w:type="gramEnd"/>
      <w:r>
        <w:rPr>
          <w:sz w:val="24"/>
          <w:szCs w:val="24"/>
        </w:rPr>
        <w:t xml:space="preserve"> </w:t>
      </w:r>
      <w:r>
        <w:rPr>
          <w:rStyle w:val="FootnoteReference"/>
          <w:sz w:val="24"/>
          <w:szCs w:val="24"/>
        </w:rPr>
        <w:footnoteReference w:id="9"/>
      </w:r>
    </w:p>
    <w:p w:rsidR="00CB666A" w:rsidRDefault="00CB666A" w:rsidP="00CB666A">
      <w:pPr>
        <w:autoSpaceDE w:val="0"/>
        <w:autoSpaceDN w:val="0"/>
        <w:adjustRightInd w:val="0"/>
        <w:ind w:left="1080" w:right="1170"/>
        <w:jc w:val="both"/>
        <w:rPr>
          <w:sz w:val="24"/>
          <w:szCs w:val="24"/>
        </w:rPr>
      </w:pPr>
    </w:p>
    <w:p w:rsidR="00CB666A" w:rsidRPr="00CB666A" w:rsidRDefault="00CB666A" w:rsidP="005212C7">
      <w:pPr>
        <w:pStyle w:val="Heading2"/>
        <w:numPr>
          <w:ilvl w:val="0"/>
          <w:numId w:val="70"/>
        </w:numPr>
      </w:pPr>
      <w:bookmarkStart w:id="13" w:name="_Toc393811630"/>
      <w:r w:rsidRPr="00CB666A">
        <w:t>Loan Types Covered</w:t>
      </w:r>
      <w:bookmarkEnd w:id="13"/>
    </w:p>
    <w:p w:rsidR="00CB666A" w:rsidRDefault="00CB666A" w:rsidP="00CB666A">
      <w:pPr>
        <w:autoSpaceDE w:val="0"/>
        <w:autoSpaceDN w:val="0"/>
        <w:adjustRightInd w:val="0"/>
        <w:ind w:left="1080" w:right="1170"/>
        <w:jc w:val="both"/>
        <w:rPr>
          <w:sz w:val="24"/>
          <w:szCs w:val="24"/>
        </w:rPr>
      </w:pPr>
    </w:p>
    <w:p w:rsidR="00CB666A" w:rsidRDefault="00CB666A" w:rsidP="00CB666A">
      <w:pPr>
        <w:autoSpaceDE w:val="0"/>
        <w:autoSpaceDN w:val="0"/>
        <w:adjustRightInd w:val="0"/>
        <w:ind w:left="1080" w:right="1170"/>
        <w:jc w:val="both"/>
        <w:rPr>
          <w:sz w:val="24"/>
          <w:szCs w:val="24"/>
        </w:rPr>
      </w:pPr>
      <w:r w:rsidRPr="00CB666A">
        <w:rPr>
          <w:sz w:val="24"/>
          <w:szCs w:val="24"/>
        </w:rPr>
        <w:t xml:space="preserve">The Mortgage Disclosure Improvement Act (MDIA) further extended </w:t>
      </w:r>
      <w:r w:rsidR="009B1B46">
        <w:rPr>
          <w:sz w:val="24"/>
          <w:szCs w:val="24"/>
        </w:rPr>
        <w:t>the</w:t>
      </w:r>
      <w:r w:rsidR="009B1B46" w:rsidRPr="00CB666A">
        <w:rPr>
          <w:sz w:val="24"/>
          <w:szCs w:val="24"/>
        </w:rPr>
        <w:t xml:space="preserve"> </w:t>
      </w:r>
      <w:r w:rsidRPr="00CB666A">
        <w:rPr>
          <w:sz w:val="24"/>
          <w:szCs w:val="24"/>
        </w:rPr>
        <w:t xml:space="preserve">types of mortgages subject to the TILA early disclosure requirement.  In the past, the TILA disclosure requirement applied to any residential mortgage covered by RESPA or any mortgage extended to finance </w:t>
      </w:r>
      <w:r w:rsidR="009B1B46">
        <w:rPr>
          <w:sz w:val="24"/>
          <w:szCs w:val="24"/>
        </w:rPr>
        <w:t>the</w:t>
      </w:r>
      <w:r w:rsidR="009B1B46" w:rsidRPr="00CB666A">
        <w:rPr>
          <w:sz w:val="24"/>
          <w:szCs w:val="24"/>
        </w:rPr>
        <w:t xml:space="preserve"> </w:t>
      </w:r>
      <w:r w:rsidRPr="00CB666A">
        <w:rPr>
          <w:sz w:val="24"/>
          <w:szCs w:val="24"/>
        </w:rPr>
        <w:t xml:space="preserve">purchase of </w:t>
      </w:r>
      <w:r w:rsidR="009B1B46">
        <w:rPr>
          <w:sz w:val="24"/>
          <w:szCs w:val="24"/>
        </w:rPr>
        <w:t>a</w:t>
      </w:r>
      <w:r w:rsidR="009B1B46" w:rsidRPr="00CB666A">
        <w:rPr>
          <w:sz w:val="24"/>
          <w:szCs w:val="24"/>
        </w:rPr>
        <w:t xml:space="preserve"> </w:t>
      </w:r>
      <w:r w:rsidRPr="00CB666A">
        <w:rPr>
          <w:sz w:val="24"/>
          <w:szCs w:val="24"/>
        </w:rPr>
        <w:t xml:space="preserve">borrower’s dwelling or to finance </w:t>
      </w:r>
      <w:r w:rsidR="009B1B46">
        <w:rPr>
          <w:sz w:val="24"/>
          <w:szCs w:val="24"/>
        </w:rPr>
        <w:t>the</w:t>
      </w:r>
      <w:r w:rsidR="009B1B46" w:rsidRPr="00CB666A">
        <w:rPr>
          <w:sz w:val="24"/>
          <w:szCs w:val="24"/>
        </w:rPr>
        <w:t xml:space="preserve"> </w:t>
      </w:r>
      <w:r w:rsidRPr="00CB666A">
        <w:rPr>
          <w:sz w:val="24"/>
          <w:szCs w:val="24"/>
        </w:rPr>
        <w:t>initial construction of a borrower’s dwelling.  Now, the TILA disclosure covers “any extension of credit secured by the dwelling of a consumer</w:t>
      </w:r>
      <w:r w:rsidR="00B97A77">
        <w:rPr>
          <w:sz w:val="24"/>
          <w:szCs w:val="24"/>
        </w:rPr>
        <w:t>.</w:t>
      </w:r>
      <w:r w:rsidRPr="00CB666A">
        <w:rPr>
          <w:sz w:val="24"/>
          <w:szCs w:val="24"/>
        </w:rPr>
        <w:t xml:space="preserve">” </w:t>
      </w:r>
      <w:r w:rsidR="00B97A77">
        <w:rPr>
          <w:sz w:val="24"/>
          <w:szCs w:val="24"/>
        </w:rPr>
        <w:t>This effectively includes</w:t>
      </w:r>
      <w:r w:rsidRPr="00CB666A">
        <w:rPr>
          <w:sz w:val="24"/>
          <w:szCs w:val="24"/>
        </w:rPr>
        <w:t xml:space="preserve"> refinance mortgage and home equity loans.  Additionally, the TILA disclosure is now required whether or not the dwelling is the borrower’s principal dwelling.  HELOCs are excluded from this last requirement.</w:t>
      </w:r>
    </w:p>
    <w:p w:rsidR="0004161E" w:rsidRDefault="0004161E" w:rsidP="00CB666A">
      <w:pPr>
        <w:autoSpaceDE w:val="0"/>
        <w:autoSpaceDN w:val="0"/>
        <w:adjustRightInd w:val="0"/>
        <w:ind w:left="1080" w:right="1170"/>
        <w:jc w:val="both"/>
        <w:rPr>
          <w:sz w:val="24"/>
          <w:szCs w:val="24"/>
        </w:rPr>
      </w:pPr>
    </w:p>
    <w:p w:rsidR="0004161E" w:rsidRDefault="0004161E" w:rsidP="00CB666A">
      <w:pPr>
        <w:autoSpaceDE w:val="0"/>
        <w:autoSpaceDN w:val="0"/>
        <w:adjustRightInd w:val="0"/>
        <w:ind w:left="1080" w:right="1170"/>
        <w:jc w:val="both"/>
        <w:rPr>
          <w:sz w:val="24"/>
          <w:szCs w:val="24"/>
        </w:rPr>
      </w:pPr>
    </w:p>
    <w:p w:rsidR="00CB666A" w:rsidRDefault="00CB666A" w:rsidP="00CB666A">
      <w:pPr>
        <w:autoSpaceDE w:val="0"/>
        <w:autoSpaceDN w:val="0"/>
        <w:adjustRightInd w:val="0"/>
        <w:ind w:left="1080" w:right="1170"/>
        <w:jc w:val="both"/>
        <w:rPr>
          <w:sz w:val="24"/>
          <w:szCs w:val="24"/>
        </w:rPr>
      </w:pPr>
    </w:p>
    <w:p w:rsidR="00CB666A" w:rsidRDefault="00CB666A" w:rsidP="00CB666A">
      <w:pPr>
        <w:autoSpaceDE w:val="0"/>
        <w:autoSpaceDN w:val="0"/>
        <w:adjustRightInd w:val="0"/>
        <w:ind w:left="1080" w:right="1170"/>
        <w:jc w:val="both"/>
        <w:rPr>
          <w:sz w:val="24"/>
          <w:szCs w:val="24"/>
        </w:rPr>
      </w:pPr>
    </w:p>
    <w:p w:rsidR="00CB666A" w:rsidRDefault="00CB666A" w:rsidP="00F63060">
      <w:pPr>
        <w:pStyle w:val="Heading2"/>
      </w:pPr>
      <w:bookmarkStart w:id="14" w:name="_Toc393811631"/>
      <w:r w:rsidRPr="00CB666A">
        <w:t>Early Disclosure and Waiting Period</w:t>
      </w:r>
      <w:bookmarkEnd w:id="14"/>
    </w:p>
    <w:p w:rsidR="00CB666A" w:rsidRDefault="00CB666A" w:rsidP="00CB666A">
      <w:pPr>
        <w:pStyle w:val="ListParagraph"/>
        <w:autoSpaceDE w:val="0"/>
        <w:autoSpaceDN w:val="0"/>
        <w:adjustRightInd w:val="0"/>
        <w:ind w:left="1080" w:right="1170"/>
        <w:rPr>
          <w:sz w:val="24"/>
          <w:szCs w:val="24"/>
        </w:rPr>
      </w:pPr>
    </w:p>
    <w:p w:rsidR="00944995" w:rsidRDefault="00CB666A" w:rsidP="005212C7">
      <w:pPr>
        <w:pStyle w:val="ListParagraph"/>
        <w:numPr>
          <w:ilvl w:val="0"/>
          <w:numId w:val="42"/>
        </w:numPr>
        <w:autoSpaceDE w:val="0"/>
        <w:autoSpaceDN w:val="0"/>
        <w:adjustRightInd w:val="0"/>
        <w:ind w:right="1170"/>
        <w:rPr>
          <w:b/>
          <w:sz w:val="24"/>
          <w:szCs w:val="24"/>
          <w:u w:val="single"/>
        </w:rPr>
      </w:pPr>
      <w:r w:rsidRPr="00CB666A">
        <w:rPr>
          <w:b/>
          <w:sz w:val="24"/>
          <w:szCs w:val="24"/>
          <w:u w:val="single"/>
        </w:rPr>
        <w:t xml:space="preserve">Business Day Definition (Part </w:t>
      </w:r>
      <w:r w:rsidR="00E41305">
        <w:rPr>
          <w:b/>
          <w:sz w:val="24"/>
          <w:szCs w:val="24"/>
          <w:u w:val="single"/>
        </w:rPr>
        <w:t>1026.2(6)</w:t>
      </w:r>
      <w:r w:rsidRPr="00CB666A">
        <w:rPr>
          <w:b/>
          <w:sz w:val="24"/>
          <w:szCs w:val="24"/>
          <w:u w:val="single"/>
        </w:rPr>
        <w:t>)</w:t>
      </w:r>
    </w:p>
    <w:p w:rsidR="00CB666A" w:rsidRDefault="00CB666A" w:rsidP="00CB666A">
      <w:pPr>
        <w:pStyle w:val="ListParagraph"/>
        <w:autoSpaceDE w:val="0"/>
        <w:autoSpaceDN w:val="0"/>
        <w:adjustRightInd w:val="0"/>
        <w:ind w:left="1080" w:right="1170"/>
        <w:rPr>
          <w:b/>
          <w:sz w:val="24"/>
          <w:szCs w:val="24"/>
          <w:u w:val="single"/>
        </w:rPr>
      </w:pPr>
    </w:p>
    <w:p w:rsidR="00410C6A" w:rsidRDefault="004649FB" w:rsidP="002F7436">
      <w:pPr>
        <w:pStyle w:val="ListParagraph"/>
        <w:autoSpaceDE w:val="0"/>
        <w:autoSpaceDN w:val="0"/>
        <w:adjustRightInd w:val="0"/>
        <w:ind w:left="1080" w:right="1170"/>
      </w:pPr>
      <w:r>
        <w:rPr>
          <w:sz w:val="24"/>
          <w:szCs w:val="24"/>
        </w:rPr>
        <w:t xml:space="preserve">The definition of </w:t>
      </w:r>
      <w:r w:rsidR="00616220">
        <w:rPr>
          <w:sz w:val="24"/>
          <w:szCs w:val="24"/>
        </w:rPr>
        <w:t>‘</w:t>
      </w:r>
      <w:r>
        <w:rPr>
          <w:sz w:val="24"/>
          <w:szCs w:val="24"/>
        </w:rPr>
        <w:t>Business Day</w:t>
      </w:r>
      <w:r w:rsidR="00616220">
        <w:rPr>
          <w:sz w:val="24"/>
          <w:szCs w:val="24"/>
        </w:rPr>
        <w:t>’</w:t>
      </w:r>
      <w:r w:rsidR="004E6852">
        <w:rPr>
          <w:sz w:val="24"/>
          <w:szCs w:val="24"/>
        </w:rPr>
        <w:t xml:space="preserve"> </w:t>
      </w:r>
      <w:r w:rsidR="00173C25">
        <w:rPr>
          <w:sz w:val="24"/>
          <w:szCs w:val="24"/>
        </w:rPr>
        <w:t>is</w:t>
      </w:r>
      <w:r>
        <w:rPr>
          <w:sz w:val="24"/>
          <w:szCs w:val="24"/>
        </w:rPr>
        <w:t xml:space="preserve"> important to understand so </w:t>
      </w:r>
      <w:r w:rsidR="00642CE1">
        <w:rPr>
          <w:sz w:val="24"/>
          <w:szCs w:val="24"/>
        </w:rPr>
        <w:t xml:space="preserve">that </w:t>
      </w:r>
      <w:r>
        <w:rPr>
          <w:sz w:val="24"/>
          <w:szCs w:val="24"/>
        </w:rPr>
        <w:t xml:space="preserve">a transaction can be disclosed properly.  </w:t>
      </w:r>
      <w:r w:rsidR="002F7436" w:rsidRPr="002F7436">
        <w:rPr>
          <w:sz w:val="24"/>
          <w:szCs w:val="24"/>
        </w:rPr>
        <w:t xml:space="preserve">For this particular 7-Business Day waiting period, MDIA </w:t>
      </w:r>
      <w:r w:rsidR="00D3074B">
        <w:rPr>
          <w:sz w:val="24"/>
          <w:szCs w:val="24"/>
        </w:rPr>
        <w:t xml:space="preserve">TILA </w:t>
      </w:r>
      <w:r w:rsidR="002F7436" w:rsidRPr="002F7436">
        <w:rPr>
          <w:sz w:val="24"/>
          <w:szCs w:val="24"/>
        </w:rPr>
        <w:t>gives a narrow and precise definition, which is every day except Sundays  and 10 legal public holidays</w:t>
      </w:r>
      <w:r w:rsidR="00D3074B">
        <w:rPr>
          <w:sz w:val="24"/>
          <w:szCs w:val="24"/>
        </w:rPr>
        <w:t>.</w:t>
      </w:r>
      <w:r w:rsidR="002F7436" w:rsidRPr="002F7436">
        <w:rPr>
          <w:sz w:val="24"/>
          <w:szCs w:val="24"/>
        </w:rPr>
        <w:t xml:space="preserve"> </w:t>
      </w:r>
      <w:r w:rsidR="004C44F2" w:rsidRPr="004C44F2">
        <w:rPr>
          <w:i/>
          <w:sz w:val="24"/>
          <w:szCs w:val="24"/>
        </w:rPr>
        <w:t xml:space="preserve">“Business day means a day on which the creditor's offices are open to the public for carrying on substantially all of its business functions. However, for purposes of rescission under §§ </w:t>
      </w:r>
      <w:r w:rsidR="00F623A5">
        <w:rPr>
          <w:i/>
          <w:sz w:val="24"/>
          <w:szCs w:val="24"/>
        </w:rPr>
        <w:t>1026</w:t>
      </w:r>
      <w:r w:rsidR="004C44F2" w:rsidRPr="004C44F2">
        <w:rPr>
          <w:i/>
          <w:sz w:val="24"/>
          <w:szCs w:val="24"/>
        </w:rPr>
        <w:t xml:space="preserve">.15 and </w:t>
      </w:r>
      <w:r w:rsidR="00F623A5">
        <w:rPr>
          <w:i/>
          <w:sz w:val="24"/>
          <w:szCs w:val="24"/>
        </w:rPr>
        <w:t>1026</w:t>
      </w:r>
      <w:r w:rsidR="004C44F2" w:rsidRPr="004C44F2">
        <w:rPr>
          <w:i/>
          <w:sz w:val="24"/>
          <w:szCs w:val="24"/>
        </w:rPr>
        <w:t xml:space="preserve">.23, and for purposes of §§ </w:t>
      </w:r>
      <w:r w:rsidR="00F623A5">
        <w:rPr>
          <w:i/>
          <w:sz w:val="24"/>
          <w:szCs w:val="24"/>
        </w:rPr>
        <w:t>1026</w:t>
      </w:r>
      <w:r w:rsidR="004C44F2" w:rsidRPr="004C44F2">
        <w:rPr>
          <w:i/>
          <w:sz w:val="24"/>
          <w:szCs w:val="24"/>
        </w:rPr>
        <w:t xml:space="preserve">.19(a)(1)(ii), </w:t>
      </w:r>
      <w:r w:rsidR="00F623A5">
        <w:rPr>
          <w:i/>
          <w:sz w:val="24"/>
          <w:szCs w:val="24"/>
        </w:rPr>
        <w:t>1026</w:t>
      </w:r>
      <w:r w:rsidR="004C44F2" w:rsidRPr="004C44F2">
        <w:rPr>
          <w:i/>
          <w:sz w:val="24"/>
          <w:szCs w:val="24"/>
        </w:rPr>
        <w:t xml:space="preserve">.19(a)(2), </w:t>
      </w:r>
      <w:r w:rsidR="00F623A5">
        <w:rPr>
          <w:i/>
          <w:sz w:val="24"/>
          <w:szCs w:val="24"/>
        </w:rPr>
        <w:t>1026</w:t>
      </w:r>
      <w:r w:rsidR="004C44F2" w:rsidRPr="004C44F2">
        <w:rPr>
          <w:i/>
          <w:sz w:val="24"/>
          <w:szCs w:val="24"/>
        </w:rPr>
        <w:t xml:space="preserve">.31, and </w:t>
      </w:r>
      <w:r w:rsidR="00F623A5">
        <w:rPr>
          <w:i/>
          <w:sz w:val="24"/>
          <w:szCs w:val="24"/>
        </w:rPr>
        <w:t>1026</w:t>
      </w:r>
      <w:r w:rsidR="004C44F2" w:rsidRPr="004C44F2">
        <w:rPr>
          <w:i/>
          <w:sz w:val="24"/>
          <w:szCs w:val="24"/>
        </w:rPr>
        <w:t>.46(d)(4), the term means all calendar days except Sundays and the legal public holidays specified in 5 U.S.C. 6103(a), such as New Year's Day, the Birthday of Martin Luther King, Jr., Washington's Birthday, Memorial Day, Independence Day, Labor Day, Columbus Day, Veterans Day, Thanksgiving Day, and Christmas Day</w:t>
      </w:r>
      <w:r w:rsidR="00AC7292">
        <w:rPr>
          <w:sz w:val="24"/>
          <w:szCs w:val="24"/>
        </w:rPr>
        <w:t>”</w:t>
      </w:r>
      <w:bookmarkStart w:id="15" w:name="fdicfoot2_2_link"/>
      <w:r w:rsidR="00410C6A" w:rsidRPr="002F7436">
        <w:t xml:space="preserve">. </w:t>
      </w:r>
      <w:r w:rsidR="00410C6A" w:rsidRPr="002F7436">
        <w:rPr>
          <w:rStyle w:val="FootnoteReference"/>
        </w:rPr>
        <w:footnoteReference w:id="10"/>
      </w:r>
    </w:p>
    <w:p w:rsidR="006E1EA1" w:rsidRPr="006E1EA1" w:rsidRDefault="006E1EA1" w:rsidP="002F7436">
      <w:pPr>
        <w:pStyle w:val="ListParagraph"/>
        <w:autoSpaceDE w:val="0"/>
        <w:autoSpaceDN w:val="0"/>
        <w:adjustRightInd w:val="0"/>
        <w:ind w:left="1080" w:right="1170"/>
        <w:rPr>
          <w:sz w:val="24"/>
          <w:szCs w:val="24"/>
        </w:rPr>
      </w:pPr>
      <w:r>
        <w:t>What this means is that</w:t>
      </w:r>
      <w:r w:rsidR="007D4392">
        <w:t>,</w:t>
      </w:r>
      <w:r>
        <w:t xml:space="preserve"> when you are making initial or subsequent disclosures</w:t>
      </w:r>
      <w:r w:rsidR="007D4392">
        <w:t>,</w:t>
      </w:r>
      <w:r>
        <w:t xml:space="preserve"> a business day is defined as </w:t>
      </w:r>
      <w:r w:rsidR="00944995" w:rsidRPr="00944995">
        <w:t>a day on which the creditor's offices are open to the public for carrying on substantially all of its business functions</w:t>
      </w:r>
      <w:r>
        <w:t xml:space="preserve">.  If you are not open on a weekend day or a non-federal holiday, that day would not count in your timing. But for the </w:t>
      </w:r>
      <w:r w:rsidR="00D64D6C">
        <w:t>RESPA</w:t>
      </w:r>
      <w:r w:rsidR="007D4392">
        <w:t>-</w:t>
      </w:r>
      <w:r w:rsidR="00D64D6C">
        <w:t xml:space="preserve">covered transactions and TILA </w:t>
      </w:r>
      <w:r>
        <w:t>rescission requirement</w:t>
      </w:r>
      <w:r w:rsidR="007D4392">
        <w:t>s,</w:t>
      </w:r>
      <w:r>
        <w:t xml:space="preserve"> a business day is </w:t>
      </w:r>
      <w:r w:rsidR="007D4392">
        <w:t>defined</w:t>
      </w:r>
      <w:r>
        <w:t xml:space="preserve"> as </w:t>
      </w:r>
      <w:r w:rsidR="00944995" w:rsidRPr="00944995">
        <w:t>all calendar days except Sundays and the legal public holidays</w:t>
      </w:r>
      <w:r>
        <w:t xml:space="preserve">.  </w:t>
      </w:r>
    </w:p>
    <w:bookmarkEnd w:id="15"/>
    <w:p w:rsidR="00E70FB0" w:rsidRDefault="00E70FB0" w:rsidP="00CB666A">
      <w:pPr>
        <w:pStyle w:val="ListParagraph"/>
        <w:autoSpaceDE w:val="0"/>
        <w:autoSpaceDN w:val="0"/>
        <w:adjustRightInd w:val="0"/>
        <w:ind w:left="1080" w:right="1170"/>
        <w:jc w:val="both"/>
        <w:rPr>
          <w:sz w:val="24"/>
          <w:szCs w:val="24"/>
        </w:rPr>
      </w:pPr>
    </w:p>
    <w:p w:rsidR="00E70FB0" w:rsidRDefault="00E70FB0">
      <w:pPr>
        <w:rPr>
          <w:sz w:val="24"/>
          <w:szCs w:val="24"/>
        </w:rPr>
      </w:pPr>
    </w:p>
    <w:p w:rsidR="00944995" w:rsidRDefault="00E70FB0" w:rsidP="005212C7">
      <w:pPr>
        <w:pStyle w:val="ListParagraph"/>
        <w:numPr>
          <w:ilvl w:val="0"/>
          <w:numId w:val="42"/>
        </w:numPr>
        <w:autoSpaceDE w:val="0"/>
        <w:autoSpaceDN w:val="0"/>
        <w:adjustRightInd w:val="0"/>
        <w:ind w:right="1170"/>
        <w:rPr>
          <w:b/>
          <w:sz w:val="24"/>
          <w:szCs w:val="24"/>
          <w:u w:val="single"/>
        </w:rPr>
      </w:pPr>
      <w:r w:rsidRPr="00E70FB0">
        <w:rPr>
          <w:b/>
          <w:sz w:val="24"/>
          <w:szCs w:val="24"/>
          <w:u w:val="single"/>
        </w:rPr>
        <w:t>3-</w:t>
      </w:r>
      <w:r w:rsidR="003A3575" w:rsidRPr="00E70FB0">
        <w:rPr>
          <w:b/>
          <w:sz w:val="24"/>
          <w:szCs w:val="24"/>
          <w:u w:val="single"/>
        </w:rPr>
        <w:t>Business</w:t>
      </w:r>
      <w:r w:rsidR="003A3575">
        <w:rPr>
          <w:b/>
          <w:sz w:val="24"/>
          <w:szCs w:val="24"/>
          <w:u w:val="single"/>
        </w:rPr>
        <w:t>-</w:t>
      </w:r>
      <w:r w:rsidRPr="00E70FB0">
        <w:rPr>
          <w:b/>
          <w:sz w:val="24"/>
          <w:szCs w:val="24"/>
          <w:u w:val="single"/>
        </w:rPr>
        <w:t>Day Requirement</w:t>
      </w:r>
    </w:p>
    <w:p w:rsidR="00CB666A" w:rsidRDefault="00CB666A" w:rsidP="00CB666A">
      <w:pPr>
        <w:pStyle w:val="ListParagraph"/>
        <w:autoSpaceDE w:val="0"/>
        <w:autoSpaceDN w:val="0"/>
        <w:adjustRightInd w:val="0"/>
        <w:ind w:left="1080" w:right="1170"/>
        <w:jc w:val="both"/>
        <w:rPr>
          <w:sz w:val="24"/>
          <w:szCs w:val="24"/>
        </w:rPr>
      </w:pPr>
    </w:p>
    <w:p w:rsidR="00E70FB0" w:rsidRDefault="00E70FB0" w:rsidP="00CB666A">
      <w:pPr>
        <w:pStyle w:val="ListParagraph"/>
        <w:autoSpaceDE w:val="0"/>
        <w:autoSpaceDN w:val="0"/>
        <w:adjustRightInd w:val="0"/>
        <w:ind w:left="1080" w:right="1170"/>
        <w:jc w:val="both"/>
        <w:rPr>
          <w:sz w:val="24"/>
          <w:szCs w:val="24"/>
        </w:rPr>
      </w:pPr>
      <w:r w:rsidRPr="00E70FB0">
        <w:rPr>
          <w:sz w:val="24"/>
          <w:szCs w:val="24"/>
        </w:rPr>
        <w:t xml:space="preserve">For mortgages, part </w:t>
      </w:r>
      <w:r w:rsidR="00F623A5">
        <w:rPr>
          <w:sz w:val="24"/>
          <w:szCs w:val="24"/>
        </w:rPr>
        <w:t>1026</w:t>
      </w:r>
      <w:r w:rsidRPr="00E70FB0">
        <w:rPr>
          <w:sz w:val="24"/>
          <w:szCs w:val="24"/>
        </w:rPr>
        <w:t xml:space="preserve">.19 requires that the TILA Disclosure be made 3 business days after the mortgage loan originator receives the borrower’s completed application.  This is an important date.  </w:t>
      </w:r>
      <w:r w:rsidR="002F7436">
        <w:rPr>
          <w:sz w:val="24"/>
          <w:szCs w:val="24"/>
        </w:rPr>
        <w:t xml:space="preserve">TILA </w:t>
      </w:r>
      <w:r w:rsidRPr="00E70FB0">
        <w:rPr>
          <w:sz w:val="24"/>
          <w:szCs w:val="24"/>
        </w:rPr>
        <w:t>helps clarify that business days are days when the mortgage loan originator’s office is open to the public for carrying on substantially all of its business functions</w:t>
      </w:r>
      <w:r w:rsidR="004649FB">
        <w:rPr>
          <w:i/>
          <w:sz w:val="24"/>
          <w:szCs w:val="24"/>
        </w:rPr>
        <w:t>.</w:t>
      </w:r>
    </w:p>
    <w:p w:rsidR="00E70FB0" w:rsidRDefault="00E70FB0" w:rsidP="00E70FB0">
      <w:pPr>
        <w:pStyle w:val="ListParagraph"/>
        <w:autoSpaceDE w:val="0"/>
        <w:autoSpaceDN w:val="0"/>
        <w:adjustRightInd w:val="0"/>
        <w:ind w:left="1080" w:right="1170"/>
        <w:jc w:val="both"/>
        <w:rPr>
          <w:sz w:val="24"/>
          <w:szCs w:val="24"/>
        </w:rPr>
      </w:pPr>
      <w:r w:rsidRPr="00E70FB0">
        <w:rPr>
          <w:sz w:val="24"/>
          <w:szCs w:val="24"/>
        </w:rPr>
        <w:t xml:space="preserve">  </w:t>
      </w:r>
    </w:p>
    <w:p w:rsidR="00E70FB0" w:rsidRPr="00E70FB0" w:rsidRDefault="00E70FB0" w:rsidP="00E70FB0">
      <w:pPr>
        <w:pStyle w:val="ListParagraph"/>
        <w:autoSpaceDE w:val="0"/>
        <w:autoSpaceDN w:val="0"/>
        <w:adjustRightInd w:val="0"/>
        <w:ind w:left="1080" w:right="1170"/>
        <w:jc w:val="both"/>
        <w:rPr>
          <w:sz w:val="24"/>
          <w:szCs w:val="24"/>
        </w:rPr>
      </w:pPr>
    </w:p>
    <w:p w:rsidR="00B259C9" w:rsidRPr="00B259C9" w:rsidRDefault="00B259C9" w:rsidP="00B259C9">
      <w:pPr>
        <w:autoSpaceDE w:val="0"/>
        <w:autoSpaceDN w:val="0"/>
        <w:adjustRightInd w:val="0"/>
        <w:ind w:left="1440" w:right="1170"/>
        <w:jc w:val="both"/>
        <w:rPr>
          <w:b/>
          <w:sz w:val="24"/>
          <w:szCs w:val="24"/>
          <w:u w:val="single"/>
        </w:rPr>
      </w:pPr>
    </w:p>
    <w:p w:rsidR="00B259C9" w:rsidRPr="00B259C9" w:rsidRDefault="00B259C9" w:rsidP="00B259C9">
      <w:pPr>
        <w:autoSpaceDE w:val="0"/>
        <w:autoSpaceDN w:val="0"/>
        <w:adjustRightInd w:val="0"/>
        <w:ind w:left="1440" w:right="1170"/>
        <w:jc w:val="both"/>
        <w:rPr>
          <w:b/>
          <w:sz w:val="24"/>
          <w:szCs w:val="24"/>
          <w:u w:val="single"/>
        </w:rPr>
      </w:pPr>
    </w:p>
    <w:p w:rsidR="00944995" w:rsidRDefault="00E70FB0" w:rsidP="005212C7">
      <w:pPr>
        <w:pStyle w:val="ListParagraph"/>
        <w:numPr>
          <w:ilvl w:val="0"/>
          <w:numId w:val="42"/>
        </w:numPr>
        <w:autoSpaceDE w:val="0"/>
        <w:autoSpaceDN w:val="0"/>
        <w:adjustRightInd w:val="0"/>
        <w:ind w:right="1170"/>
        <w:jc w:val="both"/>
        <w:rPr>
          <w:b/>
          <w:sz w:val="24"/>
          <w:szCs w:val="24"/>
          <w:u w:val="single"/>
        </w:rPr>
      </w:pPr>
      <w:r w:rsidRPr="00E70FB0">
        <w:rPr>
          <w:b/>
          <w:sz w:val="24"/>
          <w:szCs w:val="24"/>
          <w:u w:val="single"/>
        </w:rPr>
        <w:t>Prohibitions on Fee Collection before Early Disclosure</w:t>
      </w:r>
    </w:p>
    <w:p w:rsidR="00E70FB0" w:rsidRPr="00E70FB0" w:rsidRDefault="00E70FB0" w:rsidP="00E70FB0">
      <w:pPr>
        <w:pStyle w:val="ListParagraph"/>
        <w:autoSpaceDE w:val="0"/>
        <w:autoSpaceDN w:val="0"/>
        <w:adjustRightInd w:val="0"/>
        <w:ind w:left="1080" w:right="1170"/>
        <w:jc w:val="both"/>
        <w:rPr>
          <w:b/>
          <w:sz w:val="24"/>
          <w:szCs w:val="24"/>
          <w:u w:val="single"/>
        </w:rPr>
      </w:pPr>
    </w:p>
    <w:p w:rsidR="00E70FB0" w:rsidRDefault="00E70FB0" w:rsidP="00E70FB0">
      <w:pPr>
        <w:pStyle w:val="ListParagraph"/>
        <w:autoSpaceDE w:val="0"/>
        <w:autoSpaceDN w:val="0"/>
        <w:adjustRightInd w:val="0"/>
        <w:ind w:left="1080" w:right="1170"/>
        <w:jc w:val="both"/>
        <w:rPr>
          <w:sz w:val="24"/>
          <w:szCs w:val="24"/>
        </w:rPr>
      </w:pPr>
      <w:r w:rsidRPr="00E70FB0">
        <w:rPr>
          <w:sz w:val="24"/>
          <w:szCs w:val="24"/>
        </w:rPr>
        <w:t xml:space="preserve">MDIA, in Part </w:t>
      </w:r>
      <w:r w:rsidR="00F623A5">
        <w:rPr>
          <w:sz w:val="24"/>
          <w:szCs w:val="24"/>
        </w:rPr>
        <w:t>1026</w:t>
      </w:r>
      <w:r w:rsidRPr="00E70FB0">
        <w:rPr>
          <w:sz w:val="24"/>
          <w:szCs w:val="24"/>
        </w:rPr>
        <w:t>.19</w:t>
      </w:r>
      <w:r w:rsidR="00EA3BDC">
        <w:rPr>
          <w:sz w:val="24"/>
          <w:szCs w:val="24"/>
        </w:rPr>
        <w:t>(a)(1)(ii)</w:t>
      </w:r>
      <w:r w:rsidRPr="00E70FB0">
        <w:rPr>
          <w:sz w:val="24"/>
          <w:szCs w:val="24"/>
        </w:rPr>
        <w:t xml:space="preserve"> for closed-end loans, states that mortgage loan originators are not allowed to impose any charges on mortgage applicants before the applicant receives his or her TILA disclosure in the initial phase of the mortgage application.  The only fee that mortgage loan originators can require is a small fee for the actual cost</w:t>
      </w:r>
      <w:r w:rsidR="00B97A77">
        <w:rPr>
          <w:sz w:val="24"/>
          <w:szCs w:val="24"/>
        </w:rPr>
        <w:t xml:space="preserve"> of obtaining</w:t>
      </w:r>
      <w:r w:rsidRPr="00E70FB0">
        <w:rPr>
          <w:sz w:val="24"/>
          <w:szCs w:val="24"/>
        </w:rPr>
        <w:t xml:space="preserve"> a credit report for the applicant</w:t>
      </w:r>
      <w:r w:rsidR="00EA3BDC">
        <w:rPr>
          <w:sz w:val="24"/>
          <w:szCs w:val="24"/>
        </w:rPr>
        <w:t xml:space="preserve"> as stated in Part 1026.19(a)(1)(iii)</w:t>
      </w:r>
      <w:r w:rsidRPr="00E70FB0">
        <w:rPr>
          <w:sz w:val="24"/>
          <w:szCs w:val="24"/>
        </w:rPr>
        <w:t xml:space="preserve">. </w:t>
      </w:r>
    </w:p>
    <w:p w:rsidR="00E70FB0" w:rsidRPr="00E70FB0" w:rsidRDefault="00E70FB0" w:rsidP="00E70FB0">
      <w:pPr>
        <w:pStyle w:val="ListParagraph"/>
        <w:autoSpaceDE w:val="0"/>
        <w:autoSpaceDN w:val="0"/>
        <w:adjustRightInd w:val="0"/>
        <w:ind w:left="1080" w:right="1170"/>
        <w:jc w:val="both"/>
        <w:rPr>
          <w:sz w:val="24"/>
          <w:szCs w:val="24"/>
        </w:rPr>
      </w:pPr>
    </w:p>
    <w:p w:rsidR="00E70FB0" w:rsidRPr="00E70FB0" w:rsidRDefault="00E70FB0" w:rsidP="00E70FB0">
      <w:pPr>
        <w:pStyle w:val="ListParagraph"/>
        <w:autoSpaceDE w:val="0"/>
        <w:autoSpaceDN w:val="0"/>
        <w:adjustRightInd w:val="0"/>
        <w:ind w:left="1080" w:right="1170"/>
        <w:jc w:val="both"/>
        <w:rPr>
          <w:sz w:val="24"/>
          <w:szCs w:val="24"/>
        </w:rPr>
      </w:pPr>
      <w:r w:rsidRPr="00E70FB0">
        <w:rPr>
          <w:sz w:val="24"/>
          <w:szCs w:val="24"/>
        </w:rPr>
        <w:t xml:space="preserve">The law specifically </w:t>
      </w:r>
      <w:r w:rsidR="00B97A77">
        <w:rPr>
          <w:sz w:val="24"/>
          <w:szCs w:val="24"/>
        </w:rPr>
        <w:t>states</w:t>
      </w:r>
      <w:r w:rsidR="00B97A77" w:rsidRPr="00E70FB0">
        <w:rPr>
          <w:sz w:val="24"/>
          <w:szCs w:val="24"/>
        </w:rPr>
        <w:t xml:space="preserve"> </w:t>
      </w:r>
      <w:r w:rsidRPr="00E70FB0">
        <w:rPr>
          <w:sz w:val="24"/>
          <w:szCs w:val="24"/>
        </w:rPr>
        <w:t xml:space="preserve">that mortgage loan originators can assume that the applicant </w:t>
      </w:r>
      <w:r w:rsidR="00B97A77">
        <w:rPr>
          <w:sz w:val="24"/>
          <w:szCs w:val="24"/>
        </w:rPr>
        <w:t>has received</w:t>
      </w:r>
      <w:r w:rsidRPr="00E70FB0">
        <w:rPr>
          <w:sz w:val="24"/>
          <w:szCs w:val="24"/>
        </w:rPr>
        <w:t xml:space="preserve"> the TILA disclosure 3 business days after the disclosures</w:t>
      </w:r>
      <w:r w:rsidR="00B97A77">
        <w:rPr>
          <w:sz w:val="24"/>
          <w:szCs w:val="24"/>
        </w:rPr>
        <w:t xml:space="preserve"> were mailed</w:t>
      </w:r>
      <w:r w:rsidRPr="00E70FB0">
        <w:rPr>
          <w:sz w:val="24"/>
          <w:szCs w:val="24"/>
        </w:rPr>
        <w:t xml:space="preserve">.  </w:t>
      </w:r>
      <w:r w:rsidRPr="00E70FB0">
        <w:rPr>
          <w:i/>
          <w:sz w:val="24"/>
          <w:szCs w:val="24"/>
        </w:rPr>
        <w:t xml:space="preserve">"This </w:t>
      </w:r>
      <w:r w:rsidR="00095344">
        <w:rPr>
          <w:i/>
          <w:sz w:val="24"/>
          <w:szCs w:val="24"/>
        </w:rPr>
        <w:t>‘</w:t>
      </w:r>
      <w:r w:rsidR="00095344" w:rsidRPr="00E70FB0">
        <w:rPr>
          <w:i/>
          <w:sz w:val="24"/>
          <w:szCs w:val="24"/>
        </w:rPr>
        <w:t>business</w:t>
      </w:r>
      <w:r w:rsidR="00095344">
        <w:rPr>
          <w:i/>
          <w:sz w:val="24"/>
          <w:szCs w:val="24"/>
        </w:rPr>
        <w:t xml:space="preserve"> </w:t>
      </w:r>
      <w:proofErr w:type="gramStart"/>
      <w:r w:rsidRPr="00E70FB0">
        <w:rPr>
          <w:i/>
          <w:sz w:val="24"/>
          <w:szCs w:val="24"/>
        </w:rPr>
        <w:t>day</w:t>
      </w:r>
      <w:r w:rsidR="00B97A77">
        <w:rPr>
          <w:i/>
          <w:sz w:val="24"/>
          <w:szCs w:val="24"/>
        </w:rPr>
        <w:t>‘</w:t>
      </w:r>
      <w:r w:rsidR="00095344">
        <w:rPr>
          <w:i/>
          <w:sz w:val="24"/>
          <w:szCs w:val="24"/>
        </w:rPr>
        <w:t xml:space="preserve"> </w:t>
      </w:r>
      <w:r w:rsidRPr="00E70FB0">
        <w:rPr>
          <w:i/>
          <w:sz w:val="24"/>
          <w:szCs w:val="24"/>
        </w:rPr>
        <w:t>means</w:t>
      </w:r>
      <w:proofErr w:type="gramEnd"/>
      <w:r w:rsidRPr="00E70FB0">
        <w:rPr>
          <w:i/>
          <w:sz w:val="24"/>
          <w:szCs w:val="24"/>
        </w:rPr>
        <w:t xml:space="preserve"> all calendar days except Sundays and the legal public holidays."</w:t>
      </w:r>
      <w:r w:rsidRPr="00E70FB0">
        <w:rPr>
          <w:sz w:val="24"/>
          <w:szCs w:val="24"/>
        </w:rPr>
        <w:t xml:space="preserve"> </w:t>
      </w:r>
    </w:p>
    <w:p w:rsidR="00E70FB0" w:rsidRDefault="00E70FB0" w:rsidP="00E70FB0">
      <w:pPr>
        <w:pStyle w:val="ListParagraph"/>
        <w:autoSpaceDE w:val="0"/>
        <w:autoSpaceDN w:val="0"/>
        <w:adjustRightInd w:val="0"/>
        <w:ind w:left="1080" w:right="1170"/>
        <w:jc w:val="both"/>
        <w:rPr>
          <w:sz w:val="24"/>
          <w:szCs w:val="24"/>
        </w:rPr>
      </w:pPr>
    </w:p>
    <w:p w:rsidR="00944995" w:rsidRDefault="00E70FB0" w:rsidP="005212C7">
      <w:pPr>
        <w:pStyle w:val="ListParagraph"/>
        <w:numPr>
          <w:ilvl w:val="0"/>
          <w:numId w:val="42"/>
        </w:numPr>
        <w:autoSpaceDE w:val="0"/>
        <w:autoSpaceDN w:val="0"/>
        <w:adjustRightInd w:val="0"/>
        <w:ind w:right="1170"/>
        <w:jc w:val="both"/>
        <w:rPr>
          <w:b/>
          <w:sz w:val="24"/>
          <w:szCs w:val="24"/>
          <w:u w:val="single"/>
        </w:rPr>
      </w:pPr>
      <w:r w:rsidRPr="00E70FB0">
        <w:rPr>
          <w:b/>
          <w:sz w:val="24"/>
          <w:szCs w:val="24"/>
          <w:u w:val="single"/>
        </w:rPr>
        <w:t>7-Business-Day Waiting Period</w:t>
      </w:r>
    </w:p>
    <w:p w:rsidR="00E70FB0" w:rsidRPr="00E70FB0" w:rsidRDefault="00E70FB0" w:rsidP="00E70FB0">
      <w:pPr>
        <w:pStyle w:val="ListParagraph"/>
        <w:autoSpaceDE w:val="0"/>
        <w:autoSpaceDN w:val="0"/>
        <w:adjustRightInd w:val="0"/>
        <w:ind w:left="1080" w:right="1170"/>
        <w:jc w:val="both"/>
        <w:rPr>
          <w:b/>
          <w:sz w:val="24"/>
          <w:szCs w:val="24"/>
          <w:u w:val="single"/>
        </w:rPr>
      </w:pPr>
    </w:p>
    <w:p w:rsidR="00E70FB0" w:rsidRDefault="00E70FB0" w:rsidP="00E70FB0">
      <w:pPr>
        <w:pStyle w:val="ListParagraph"/>
        <w:autoSpaceDE w:val="0"/>
        <w:autoSpaceDN w:val="0"/>
        <w:adjustRightInd w:val="0"/>
        <w:ind w:left="1080" w:right="1170"/>
        <w:jc w:val="both"/>
        <w:rPr>
          <w:sz w:val="24"/>
          <w:szCs w:val="24"/>
        </w:rPr>
      </w:pPr>
      <w:r w:rsidRPr="00E70FB0">
        <w:rPr>
          <w:sz w:val="24"/>
          <w:szCs w:val="24"/>
        </w:rPr>
        <w:t xml:space="preserve">Remember that the TILA disclosure needs to be provided to the applicant 3 business days after the mortgage loan originator received the application.  Now, the 2008 MDIA amendment in Part </w:t>
      </w:r>
      <w:r w:rsidR="00F623A5">
        <w:rPr>
          <w:sz w:val="24"/>
          <w:szCs w:val="24"/>
        </w:rPr>
        <w:t>1026</w:t>
      </w:r>
      <w:r w:rsidRPr="00E70FB0">
        <w:rPr>
          <w:sz w:val="24"/>
          <w:szCs w:val="24"/>
        </w:rPr>
        <w:t xml:space="preserve">.19 puts </w:t>
      </w:r>
      <w:r w:rsidR="00B97A77">
        <w:rPr>
          <w:sz w:val="24"/>
          <w:szCs w:val="24"/>
        </w:rPr>
        <w:t>an additional</w:t>
      </w:r>
      <w:r w:rsidRPr="00E70FB0">
        <w:rPr>
          <w:sz w:val="24"/>
          <w:szCs w:val="24"/>
        </w:rPr>
        <w:t xml:space="preserve"> limit on the </w:t>
      </w:r>
      <w:r w:rsidR="00B97A77">
        <w:rPr>
          <w:sz w:val="24"/>
          <w:szCs w:val="24"/>
        </w:rPr>
        <w:t>period during</w:t>
      </w:r>
      <w:r w:rsidRPr="00E70FB0">
        <w:rPr>
          <w:sz w:val="24"/>
          <w:szCs w:val="24"/>
        </w:rPr>
        <w:t xml:space="preserve"> which a mortgage transaction can close.  MDIA requires that the TILA Disclosure Statement be disclosed to mortgage applicants at least </w:t>
      </w:r>
      <w:r w:rsidRPr="00E70FB0">
        <w:rPr>
          <w:b/>
          <w:sz w:val="24"/>
          <w:szCs w:val="24"/>
        </w:rPr>
        <w:t>7 business days</w:t>
      </w:r>
      <w:r w:rsidRPr="00E70FB0">
        <w:rPr>
          <w:sz w:val="24"/>
          <w:szCs w:val="24"/>
        </w:rPr>
        <w:t xml:space="preserve"> before the closing of the mortgage transaction.  This 7-Business Day waiting period begins on the postmarked date when the disclosure was mailed to the borrowers, not when the borrowers receive</w:t>
      </w:r>
      <w:r w:rsidR="00B97A77">
        <w:rPr>
          <w:sz w:val="24"/>
          <w:szCs w:val="24"/>
        </w:rPr>
        <w:t>d</w:t>
      </w:r>
      <w:r w:rsidRPr="00E70FB0">
        <w:rPr>
          <w:sz w:val="24"/>
          <w:szCs w:val="24"/>
        </w:rPr>
        <w:t xml:space="preserve"> the disclosure.</w:t>
      </w:r>
    </w:p>
    <w:p w:rsidR="00E70FB0" w:rsidRPr="00E70FB0" w:rsidRDefault="00E70FB0" w:rsidP="00E70FB0">
      <w:pPr>
        <w:pStyle w:val="ListParagraph"/>
        <w:autoSpaceDE w:val="0"/>
        <w:autoSpaceDN w:val="0"/>
        <w:adjustRightInd w:val="0"/>
        <w:ind w:left="1080" w:right="1170"/>
        <w:jc w:val="both"/>
        <w:rPr>
          <w:sz w:val="24"/>
          <w:szCs w:val="24"/>
        </w:rPr>
      </w:pPr>
    </w:p>
    <w:p w:rsidR="00E70FB0" w:rsidRDefault="00E70FB0" w:rsidP="00E70FB0">
      <w:pPr>
        <w:pStyle w:val="ListParagraph"/>
        <w:autoSpaceDE w:val="0"/>
        <w:autoSpaceDN w:val="0"/>
        <w:adjustRightInd w:val="0"/>
        <w:ind w:left="1080" w:right="1170"/>
        <w:jc w:val="both"/>
        <w:rPr>
          <w:sz w:val="24"/>
          <w:szCs w:val="24"/>
        </w:rPr>
      </w:pPr>
      <w:r w:rsidRPr="00E70FB0">
        <w:rPr>
          <w:sz w:val="24"/>
          <w:szCs w:val="24"/>
        </w:rPr>
        <w:t xml:space="preserve">Note: </w:t>
      </w:r>
      <w:r w:rsidR="00602736" w:rsidRPr="00602736">
        <w:t xml:space="preserve"> </w:t>
      </w:r>
      <w:r w:rsidR="00602736" w:rsidRPr="00602736">
        <w:rPr>
          <w:sz w:val="24"/>
          <w:szCs w:val="24"/>
        </w:rPr>
        <w:t xml:space="preserve">A borrower may modify or waive the seven-day or three-day waiting period before consummation if he/she has a bona fide personal financial emergency </w:t>
      </w:r>
      <w:r w:rsidR="001C3FD7">
        <w:rPr>
          <w:sz w:val="24"/>
          <w:szCs w:val="24"/>
        </w:rPr>
        <w:t xml:space="preserve">(such as imminent foreclosure) </w:t>
      </w:r>
      <w:r w:rsidR="00602736" w:rsidRPr="00602736">
        <w:rPr>
          <w:sz w:val="24"/>
          <w:szCs w:val="24"/>
        </w:rPr>
        <w:t>that necessitates consummating the credit transaction before the end of the waiting period. However, the consumer must receive accurate TILA disclosures at or before the time the consumer modifies or waives the waiting period. To modify or waive a waiting period, the consumer must give the creditor a dated written statement that describes the emergency, specifically modifies or waives the waiting period, and bears the signature of all the consumers who are primarily liable on the legal obligation.</w:t>
      </w:r>
    </w:p>
    <w:p w:rsidR="00E70FB0" w:rsidRDefault="00E70FB0">
      <w:pPr>
        <w:rPr>
          <w:sz w:val="24"/>
          <w:szCs w:val="24"/>
        </w:rPr>
      </w:pPr>
      <w:r>
        <w:rPr>
          <w:sz w:val="24"/>
          <w:szCs w:val="24"/>
        </w:rPr>
        <w:br w:type="page"/>
      </w:r>
    </w:p>
    <w:p w:rsidR="00E70FB0" w:rsidRPr="00E70FB0" w:rsidRDefault="00E70FB0" w:rsidP="00E70FB0">
      <w:pPr>
        <w:pStyle w:val="ListParagraph"/>
        <w:autoSpaceDE w:val="0"/>
        <w:autoSpaceDN w:val="0"/>
        <w:adjustRightInd w:val="0"/>
        <w:ind w:left="1080" w:right="1170"/>
        <w:jc w:val="both"/>
        <w:rPr>
          <w:b/>
          <w:sz w:val="24"/>
          <w:szCs w:val="24"/>
        </w:rPr>
      </w:pPr>
    </w:p>
    <w:p w:rsidR="007A6DA8" w:rsidRDefault="00E70FB0" w:rsidP="005212C7">
      <w:pPr>
        <w:pStyle w:val="ListParagraph"/>
        <w:numPr>
          <w:ilvl w:val="0"/>
          <w:numId w:val="42"/>
        </w:numPr>
        <w:autoSpaceDE w:val="0"/>
        <w:autoSpaceDN w:val="0"/>
        <w:adjustRightInd w:val="0"/>
        <w:ind w:right="1170"/>
        <w:jc w:val="both"/>
        <w:rPr>
          <w:b/>
          <w:sz w:val="24"/>
          <w:szCs w:val="24"/>
        </w:rPr>
      </w:pPr>
      <w:r w:rsidRPr="00E70FB0">
        <w:rPr>
          <w:b/>
          <w:sz w:val="24"/>
          <w:szCs w:val="24"/>
        </w:rPr>
        <w:t>3-Business-Day Waiting Period for Corrections</w:t>
      </w:r>
    </w:p>
    <w:p w:rsidR="00E70FB0" w:rsidRPr="00E70FB0" w:rsidRDefault="00E70FB0" w:rsidP="00E70FB0">
      <w:pPr>
        <w:pStyle w:val="ListParagraph"/>
        <w:autoSpaceDE w:val="0"/>
        <w:autoSpaceDN w:val="0"/>
        <w:adjustRightInd w:val="0"/>
        <w:ind w:left="1080" w:right="1170"/>
        <w:jc w:val="both"/>
        <w:rPr>
          <w:b/>
          <w:sz w:val="24"/>
          <w:szCs w:val="24"/>
        </w:rPr>
      </w:pPr>
    </w:p>
    <w:p w:rsidR="00E70FB0" w:rsidRDefault="00E70FB0" w:rsidP="00E70FB0">
      <w:pPr>
        <w:pStyle w:val="ListParagraph"/>
        <w:autoSpaceDE w:val="0"/>
        <w:autoSpaceDN w:val="0"/>
        <w:adjustRightInd w:val="0"/>
        <w:ind w:left="1080" w:right="1170"/>
        <w:jc w:val="both"/>
        <w:rPr>
          <w:sz w:val="24"/>
          <w:szCs w:val="24"/>
        </w:rPr>
      </w:pPr>
      <w:r w:rsidRPr="00E70FB0">
        <w:rPr>
          <w:sz w:val="24"/>
          <w:szCs w:val="24"/>
        </w:rPr>
        <w:t xml:space="preserve">As an added consideration, MDIA dictates that if the APR disclosed on the TILA </w:t>
      </w:r>
      <w:r w:rsidR="00B97A77">
        <w:rPr>
          <w:sz w:val="24"/>
          <w:szCs w:val="24"/>
        </w:rPr>
        <w:t>varies</w:t>
      </w:r>
      <w:r w:rsidR="00B97A77" w:rsidRPr="00E70FB0">
        <w:rPr>
          <w:sz w:val="24"/>
          <w:szCs w:val="24"/>
        </w:rPr>
        <w:t xml:space="preserve"> </w:t>
      </w:r>
      <w:r w:rsidR="00E25746">
        <w:rPr>
          <w:sz w:val="24"/>
          <w:szCs w:val="24"/>
        </w:rPr>
        <w:t xml:space="preserve">by </w:t>
      </w:r>
      <w:r w:rsidRPr="00E70FB0">
        <w:rPr>
          <w:sz w:val="24"/>
          <w:szCs w:val="24"/>
        </w:rPr>
        <w:t xml:space="preserve">more than a certain amount (considered a </w:t>
      </w:r>
      <w:r w:rsidR="00642CE1">
        <w:rPr>
          <w:sz w:val="24"/>
          <w:szCs w:val="24"/>
        </w:rPr>
        <w:t>‘</w:t>
      </w:r>
      <w:r w:rsidRPr="00E70FB0">
        <w:rPr>
          <w:sz w:val="24"/>
          <w:szCs w:val="24"/>
        </w:rPr>
        <w:t>threshold</w:t>
      </w:r>
      <w:r w:rsidR="00642CE1">
        <w:rPr>
          <w:sz w:val="24"/>
          <w:szCs w:val="24"/>
        </w:rPr>
        <w:t>’</w:t>
      </w:r>
      <w:r w:rsidR="00642CE1" w:rsidRPr="00E70FB0">
        <w:rPr>
          <w:sz w:val="24"/>
          <w:szCs w:val="24"/>
        </w:rPr>
        <w:t xml:space="preserve"> </w:t>
      </w:r>
      <w:r w:rsidRPr="00E70FB0">
        <w:rPr>
          <w:sz w:val="24"/>
          <w:szCs w:val="24"/>
        </w:rPr>
        <w:t xml:space="preserve">amount), then the creditor needs to send out a revised disclosure with the new APR and the mortgage transaction cannot close </w:t>
      </w:r>
      <w:r w:rsidR="00B97A77">
        <w:rPr>
          <w:sz w:val="24"/>
          <w:szCs w:val="24"/>
        </w:rPr>
        <w:t>within</w:t>
      </w:r>
      <w:r w:rsidRPr="00E70FB0">
        <w:rPr>
          <w:sz w:val="24"/>
          <w:szCs w:val="24"/>
        </w:rPr>
        <w:t xml:space="preserve"> </w:t>
      </w:r>
      <w:r w:rsidRPr="00E70FB0">
        <w:rPr>
          <w:b/>
          <w:sz w:val="24"/>
          <w:szCs w:val="24"/>
        </w:rPr>
        <w:t>3 business days</w:t>
      </w:r>
      <w:r w:rsidRPr="00E70FB0">
        <w:rPr>
          <w:sz w:val="24"/>
          <w:szCs w:val="24"/>
        </w:rPr>
        <w:t xml:space="preserve"> </w:t>
      </w:r>
      <w:r w:rsidR="00B97A77">
        <w:rPr>
          <w:sz w:val="24"/>
          <w:szCs w:val="24"/>
        </w:rPr>
        <w:t>following receipt of</w:t>
      </w:r>
      <w:r w:rsidRPr="00E70FB0">
        <w:rPr>
          <w:sz w:val="24"/>
          <w:szCs w:val="24"/>
        </w:rPr>
        <w:t xml:space="preserve"> the new disclosure agreements</w:t>
      </w:r>
      <w:r w:rsidR="00B97A77">
        <w:rPr>
          <w:sz w:val="24"/>
          <w:szCs w:val="24"/>
        </w:rPr>
        <w:t xml:space="preserve"> by the borrower</w:t>
      </w:r>
      <w:r w:rsidRPr="00E70FB0">
        <w:rPr>
          <w:sz w:val="24"/>
          <w:szCs w:val="24"/>
        </w:rPr>
        <w:t xml:space="preserve">.  If the mortgage loan originator does not deliver the new disclosures to the borrower in person, then the borrower is deemed to have received the corrected disclosures </w:t>
      </w:r>
      <w:r w:rsidRPr="00E70FB0">
        <w:rPr>
          <w:b/>
          <w:sz w:val="24"/>
          <w:szCs w:val="24"/>
        </w:rPr>
        <w:t>3 business days</w:t>
      </w:r>
      <w:r w:rsidRPr="00E70FB0">
        <w:rPr>
          <w:sz w:val="24"/>
          <w:szCs w:val="24"/>
        </w:rPr>
        <w:t xml:space="preserve"> after the new disclosures were mailed.  </w:t>
      </w:r>
    </w:p>
    <w:p w:rsidR="00E70FB0" w:rsidRPr="00E70FB0" w:rsidRDefault="00E70FB0" w:rsidP="00E70FB0">
      <w:pPr>
        <w:pStyle w:val="ListParagraph"/>
        <w:autoSpaceDE w:val="0"/>
        <w:autoSpaceDN w:val="0"/>
        <w:adjustRightInd w:val="0"/>
        <w:ind w:left="1080" w:right="1170"/>
        <w:jc w:val="both"/>
        <w:rPr>
          <w:sz w:val="24"/>
          <w:szCs w:val="24"/>
        </w:rPr>
      </w:pPr>
    </w:p>
    <w:p w:rsidR="00E70FB0" w:rsidRPr="00E70FB0" w:rsidRDefault="00E70FB0" w:rsidP="00E70FB0">
      <w:pPr>
        <w:pStyle w:val="ListParagraph"/>
        <w:autoSpaceDE w:val="0"/>
        <w:autoSpaceDN w:val="0"/>
        <w:adjustRightInd w:val="0"/>
        <w:ind w:left="1080" w:right="1170"/>
        <w:jc w:val="both"/>
        <w:rPr>
          <w:sz w:val="24"/>
          <w:szCs w:val="24"/>
        </w:rPr>
      </w:pPr>
      <w:r w:rsidRPr="00E70FB0">
        <w:rPr>
          <w:sz w:val="24"/>
          <w:szCs w:val="24"/>
        </w:rPr>
        <w:t>Note: If borrowers are faced with a proven personal emergency situation such as imminent foreclosure, they can waive this requirement provided that the borrowers have received the corrected disclosures and that the borrowers provide a signed written document stating their emergencies.</w:t>
      </w:r>
    </w:p>
    <w:p w:rsidR="00E70FB0" w:rsidRDefault="00E70FB0" w:rsidP="00E70FB0">
      <w:pPr>
        <w:pStyle w:val="ListParagraph"/>
        <w:autoSpaceDE w:val="0"/>
        <w:autoSpaceDN w:val="0"/>
        <w:adjustRightInd w:val="0"/>
        <w:ind w:left="1080" w:right="1170"/>
        <w:jc w:val="both"/>
        <w:rPr>
          <w:sz w:val="24"/>
          <w:szCs w:val="24"/>
        </w:rPr>
      </w:pPr>
    </w:p>
    <w:p w:rsidR="00944995" w:rsidRDefault="00E70FB0" w:rsidP="005212C7">
      <w:pPr>
        <w:pStyle w:val="ListParagraph"/>
        <w:numPr>
          <w:ilvl w:val="0"/>
          <w:numId w:val="42"/>
        </w:numPr>
        <w:autoSpaceDE w:val="0"/>
        <w:autoSpaceDN w:val="0"/>
        <w:adjustRightInd w:val="0"/>
        <w:ind w:right="1170"/>
        <w:jc w:val="both"/>
        <w:rPr>
          <w:b/>
          <w:sz w:val="24"/>
          <w:szCs w:val="24"/>
        </w:rPr>
      </w:pPr>
      <w:r w:rsidRPr="00E70FB0">
        <w:rPr>
          <w:b/>
          <w:sz w:val="24"/>
          <w:szCs w:val="24"/>
        </w:rPr>
        <w:t>APR Accuracy Tolerance Level</w:t>
      </w:r>
    </w:p>
    <w:p w:rsidR="00E70FB0" w:rsidRPr="00E70FB0" w:rsidRDefault="00E70FB0" w:rsidP="00E70FB0">
      <w:pPr>
        <w:pStyle w:val="ListParagraph"/>
        <w:autoSpaceDE w:val="0"/>
        <w:autoSpaceDN w:val="0"/>
        <w:adjustRightInd w:val="0"/>
        <w:ind w:left="1440" w:right="1170"/>
        <w:jc w:val="both"/>
        <w:rPr>
          <w:sz w:val="24"/>
          <w:szCs w:val="24"/>
        </w:rPr>
      </w:pPr>
    </w:p>
    <w:p w:rsidR="00E70FB0" w:rsidRPr="00E70FB0" w:rsidRDefault="00E70FB0" w:rsidP="00E70FB0">
      <w:pPr>
        <w:pStyle w:val="ListParagraph"/>
        <w:autoSpaceDE w:val="0"/>
        <w:autoSpaceDN w:val="0"/>
        <w:adjustRightInd w:val="0"/>
        <w:ind w:left="1440" w:right="1170"/>
        <w:jc w:val="both"/>
        <w:rPr>
          <w:sz w:val="24"/>
          <w:szCs w:val="24"/>
        </w:rPr>
      </w:pPr>
      <w:r w:rsidRPr="00E70FB0">
        <w:rPr>
          <w:sz w:val="24"/>
          <w:szCs w:val="24"/>
        </w:rPr>
        <w:t xml:space="preserve">Note that the APR change threshold </w:t>
      </w:r>
      <w:r w:rsidR="00B97A77">
        <w:rPr>
          <w:sz w:val="24"/>
          <w:szCs w:val="24"/>
        </w:rPr>
        <w:t xml:space="preserve">mentioned </w:t>
      </w:r>
      <w:r w:rsidRPr="00E70FB0">
        <w:rPr>
          <w:sz w:val="24"/>
          <w:szCs w:val="24"/>
        </w:rPr>
        <w:t xml:space="preserve">above is defined in Part </w:t>
      </w:r>
      <w:r w:rsidR="00F623A5">
        <w:rPr>
          <w:sz w:val="24"/>
          <w:szCs w:val="24"/>
        </w:rPr>
        <w:t>1026</w:t>
      </w:r>
      <w:r w:rsidRPr="00E70FB0">
        <w:rPr>
          <w:sz w:val="24"/>
          <w:szCs w:val="24"/>
        </w:rPr>
        <w:t>.22</w:t>
      </w:r>
      <w:r w:rsidR="00EA3BDC">
        <w:rPr>
          <w:sz w:val="24"/>
          <w:szCs w:val="24"/>
        </w:rPr>
        <w:t>.</w:t>
      </w:r>
      <w:r w:rsidRPr="00E70FB0">
        <w:rPr>
          <w:sz w:val="24"/>
          <w:szCs w:val="24"/>
        </w:rPr>
        <w:t xml:space="preserve"> </w:t>
      </w:r>
      <w:r w:rsidR="00EA3BDC">
        <w:rPr>
          <w:sz w:val="24"/>
          <w:szCs w:val="24"/>
        </w:rPr>
        <w:t>The APR is deemed accurate if it is:</w:t>
      </w:r>
    </w:p>
    <w:p w:rsidR="00155B23" w:rsidRDefault="00E70FB0" w:rsidP="005212C7">
      <w:pPr>
        <w:pStyle w:val="ListParagraph"/>
        <w:numPr>
          <w:ilvl w:val="0"/>
          <w:numId w:val="32"/>
        </w:numPr>
        <w:autoSpaceDE w:val="0"/>
        <w:autoSpaceDN w:val="0"/>
        <w:adjustRightInd w:val="0"/>
        <w:ind w:right="1170"/>
        <w:jc w:val="both"/>
        <w:rPr>
          <w:sz w:val="24"/>
          <w:szCs w:val="24"/>
        </w:rPr>
      </w:pPr>
      <w:r w:rsidRPr="00155B23">
        <w:rPr>
          <w:sz w:val="24"/>
          <w:szCs w:val="24"/>
        </w:rPr>
        <w:t xml:space="preserve">1/8 of 1% (0.125%) </w:t>
      </w:r>
      <w:r w:rsidR="00EA3BDC">
        <w:rPr>
          <w:sz w:val="24"/>
          <w:szCs w:val="24"/>
        </w:rPr>
        <w:t xml:space="preserve">above or below the APR </w:t>
      </w:r>
      <w:r w:rsidRPr="00155B23">
        <w:rPr>
          <w:sz w:val="24"/>
          <w:szCs w:val="24"/>
        </w:rPr>
        <w:t>for regular loan</w:t>
      </w:r>
      <w:r w:rsidR="00B97A77">
        <w:rPr>
          <w:sz w:val="24"/>
          <w:szCs w:val="24"/>
        </w:rPr>
        <w:t>s</w:t>
      </w:r>
    </w:p>
    <w:p w:rsidR="00E70FB0" w:rsidRPr="00155B23" w:rsidRDefault="00E70FB0" w:rsidP="005212C7">
      <w:pPr>
        <w:pStyle w:val="ListParagraph"/>
        <w:numPr>
          <w:ilvl w:val="0"/>
          <w:numId w:val="32"/>
        </w:numPr>
        <w:autoSpaceDE w:val="0"/>
        <w:autoSpaceDN w:val="0"/>
        <w:adjustRightInd w:val="0"/>
        <w:ind w:right="1170"/>
        <w:jc w:val="both"/>
        <w:rPr>
          <w:sz w:val="24"/>
          <w:szCs w:val="24"/>
        </w:rPr>
      </w:pPr>
      <w:r w:rsidRPr="00155B23">
        <w:rPr>
          <w:sz w:val="24"/>
          <w:szCs w:val="24"/>
        </w:rPr>
        <w:t xml:space="preserve">¼ of 1% (0.25%) </w:t>
      </w:r>
      <w:r w:rsidR="00EA3BDC">
        <w:rPr>
          <w:sz w:val="24"/>
          <w:szCs w:val="24"/>
        </w:rPr>
        <w:t xml:space="preserve">above or below the APR </w:t>
      </w:r>
      <w:r w:rsidRPr="00155B23">
        <w:rPr>
          <w:sz w:val="24"/>
          <w:szCs w:val="24"/>
        </w:rPr>
        <w:t>for irregular loan</w:t>
      </w:r>
      <w:r w:rsidR="00B97A77">
        <w:rPr>
          <w:sz w:val="24"/>
          <w:szCs w:val="24"/>
        </w:rPr>
        <w:t>s</w:t>
      </w:r>
      <w:r w:rsidRPr="00155B23">
        <w:rPr>
          <w:sz w:val="24"/>
          <w:szCs w:val="24"/>
        </w:rPr>
        <w:t xml:space="preserve">.  </w:t>
      </w:r>
    </w:p>
    <w:p w:rsidR="00E70FB0" w:rsidRPr="00E70FB0" w:rsidRDefault="00E70FB0" w:rsidP="00E70FB0">
      <w:pPr>
        <w:pStyle w:val="ListParagraph"/>
        <w:autoSpaceDE w:val="0"/>
        <w:autoSpaceDN w:val="0"/>
        <w:adjustRightInd w:val="0"/>
        <w:ind w:left="1440" w:right="1170"/>
        <w:jc w:val="both"/>
        <w:rPr>
          <w:sz w:val="24"/>
          <w:szCs w:val="24"/>
        </w:rPr>
      </w:pPr>
    </w:p>
    <w:p w:rsidR="00E70FB0" w:rsidRDefault="00E70FB0" w:rsidP="00E70FB0">
      <w:pPr>
        <w:pStyle w:val="ListParagraph"/>
        <w:autoSpaceDE w:val="0"/>
        <w:autoSpaceDN w:val="0"/>
        <w:adjustRightInd w:val="0"/>
        <w:ind w:left="1440" w:right="1170"/>
        <w:jc w:val="both"/>
        <w:rPr>
          <w:sz w:val="24"/>
          <w:szCs w:val="24"/>
        </w:rPr>
      </w:pPr>
      <w:r w:rsidRPr="00E70FB0">
        <w:rPr>
          <w:sz w:val="24"/>
          <w:szCs w:val="24"/>
        </w:rPr>
        <w:t xml:space="preserve">Standard </w:t>
      </w:r>
      <w:r w:rsidR="00B97A77" w:rsidRPr="00E70FB0">
        <w:rPr>
          <w:sz w:val="24"/>
          <w:szCs w:val="24"/>
        </w:rPr>
        <w:t>30</w:t>
      </w:r>
      <w:r w:rsidR="00B97A77">
        <w:rPr>
          <w:sz w:val="24"/>
          <w:szCs w:val="24"/>
        </w:rPr>
        <w:t>-</w:t>
      </w:r>
      <w:r w:rsidRPr="00E70FB0">
        <w:rPr>
          <w:sz w:val="24"/>
          <w:szCs w:val="24"/>
        </w:rPr>
        <w:t>year fixed mortgage loans are usually regular loans.  An irregular loan is a mortgage transaction that has multiple advance periods (most likely a construction loan) or irregular payments (most likely an ARM or a mortgage w</w:t>
      </w:r>
      <w:r w:rsidR="00531B07">
        <w:rPr>
          <w:sz w:val="24"/>
          <w:szCs w:val="24"/>
        </w:rPr>
        <w:t>ith varying mortgage insurance).</w:t>
      </w:r>
    </w:p>
    <w:p w:rsidR="00531B07" w:rsidRDefault="00531B07" w:rsidP="00E70FB0">
      <w:pPr>
        <w:pStyle w:val="ListParagraph"/>
        <w:autoSpaceDE w:val="0"/>
        <w:autoSpaceDN w:val="0"/>
        <w:adjustRightInd w:val="0"/>
        <w:ind w:left="1440" w:right="1170"/>
        <w:jc w:val="both"/>
        <w:rPr>
          <w:sz w:val="24"/>
          <w:szCs w:val="24"/>
        </w:rPr>
      </w:pPr>
    </w:p>
    <w:p w:rsidR="00531B07" w:rsidRPr="00716890" w:rsidRDefault="00531B07" w:rsidP="00716890">
      <w:pPr>
        <w:pStyle w:val="Heading2"/>
      </w:pPr>
      <w:bookmarkStart w:id="17" w:name="_Toc393811632"/>
      <w:r w:rsidRPr="00716890">
        <w:t>General Disclosure Requirements for Closed</w:t>
      </w:r>
      <w:r w:rsidR="003A3575" w:rsidRPr="00716890">
        <w:t>-</w:t>
      </w:r>
      <w:r w:rsidRPr="00716890">
        <w:t>End Credit</w:t>
      </w:r>
      <w:r w:rsidR="00D8033B" w:rsidRPr="00716890">
        <w:t xml:space="preserve"> </w:t>
      </w:r>
      <w:r w:rsidR="00716890">
        <w:t>(</w:t>
      </w:r>
      <w:hyperlink r:id="rId20" w:anchor="12:8.0.2.10.18.2.1.1" w:history="1">
        <w:r w:rsidR="00D8033B" w:rsidRPr="00716890">
          <w:rPr>
            <w:rStyle w:val="Hyperlink"/>
            <w:color w:val="4F81BD"/>
            <w:u w:val="none"/>
          </w:rPr>
          <w:t>§ 1026.</w:t>
        </w:r>
        <w:r w:rsidR="00F713AF" w:rsidRPr="00716890" w:rsidDel="00F713AF">
          <w:rPr>
            <w:rStyle w:val="Hyperlink"/>
            <w:color w:val="4F81BD"/>
            <w:u w:val="none"/>
          </w:rPr>
          <w:t xml:space="preserve"> </w:t>
        </w:r>
        <w:r w:rsidR="00F713AF" w:rsidRPr="00716890">
          <w:rPr>
            <w:rStyle w:val="Hyperlink"/>
            <w:color w:val="4F81BD"/>
            <w:u w:val="none"/>
          </w:rPr>
          <w:t>17</w:t>
        </w:r>
      </w:hyperlink>
      <w:r w:rsidR="00716890">
        <w:t>)</w:t>
      </w:r>
      <w:bookmarkEnd w:id="17"/>
    </w:p>
    <w:p w:rsidR="00531B07" w:rsidRPr="0035593D" w:rsidRDefault="00531B07" w:rsidP="005212C7">
      <w:pPr>
        <w:pStyle w:val="ListParagraph"/>
        <w:numPr>
          <w:ilvl w:val="1"/>
          <w:numId w:val="17"/>
        </w:numPr>
        <w:autoSpaceDE w:val="0"/>
        <w:autoSpaceDN w:val="0"/>
        <w:adjustRightInd w:val="0"/>
        <w:ind w:left="1800" w:right="1170"/>
        <w:jc w:val="both"/>
        <w:rPr>
          <w:sz w:val="24"/>
          <w:szCs w:val="24"/>
        </w:rPr>
      </w:pPr>
      <w:r w:rsidRPr="0035593D">
        <w:rPr>
          <w:sz w:val="24"/>
          <w:szCs w:val="24"/>
        </w:rPr>
        <w:t>Creditor name and address</w:t>
      </w:r>
    </w:p>
    <w:p w:rsidR="00531B07" w:rsidRPr="0035593D" w:rsidRDefault="0035593D" w:rsidP="005212C7">
      <w:pPr>
        <w:pStyle w:val="ListParagraph"/>
        <w:numPr>
          <w:ilvl w:val="1"/>
          <w:numId w:val="17"/>
        </w:numPr>
        <w:autoSpaceDE w:val="0"/>
        <w:autoSpaceDN w:val="0"/>
        <w:adjustRightInd w:val="0"/>
        <w:ind w:left="1800" w:right="1170"/>
        <w:jc w:val="both"/>
        <w:rPr>
          <w:sz w:val="24"/>
          <w:szCs w:val="24"/>
        </w:rPr>
      </w:pPr>
      <w:r w:rsidRPr="0035593D">
        <w:rPr>
          <w:sz w:val="24"/>
          <w:szCs w:val="24"/>
        </w:rPr>
        <w:t>Contract reference number</w:t>
      </w:r>
    </w:p>
    <w:p w:rsidR="00531B07" w:rsidRPr="00531B07" w:rsidRDefault="00531B07" w:rsidP="005212C7">
      <w:pPr>
        <w:pStyle w:val="ListParagraph"/>
        <w:numPr>
          <w:ilvl w:val="1"/>
          <w:numId w:val="17"/>
        </w:numPr>
        <w:autoSpaceDE w:val="0"/>
        <w:autoSpaceDN w:val="0"/>
        <w:adjustRightInd w:val="0"/>
        <w:ind w:left="1800" w:right="1170"/>
        <w:jc w:val="both"/>
        <w:rPr>
          <w:sz w:val="24"/>
          <w:szCs w:val="24"/>
        </w:rPr>
      </w:pPr>
      <w:r w:rsidRPr="0035593D">
        <w:rPr>
          <w:b/>
          <w:sz w:val="24"/>
          <w:szCs w:val="24"/>
        </w:rPr>
        <w:t>Amount Financed and itemization:</w:t>
      </w:r>
      <w:r w:rsidRPr="00531B07">
        <w:rPr>
          <w:sz w:val="24"/>
          <w:szCs w:val="24"/>
        </w:rPr>
        <w:t xml:space="preserve">  Loan amount itemized;  amortization table and house sale price</w:t>
      </w:r>
    </w:p>
    <w:p w:rsidR="00531B07" w:rsidRPr="00531B07" w:rsidRDefault="00531B07" w:rsidP="005212C7">
      <w:pPr>
        <w:pStyle w:val="ListParagraph"/>
        <w:numPr>
          <w:ilvl w:val="1"/>
          <w:numId w:val="17"/>
        </w:numPr>
        <w:autoSpaceDE w:val="0"/>
        <w:autoSpaceDN w:val="0"/>
        <w:adjustRightInd w:val="0"/>
        <w:ind w:left="1800" w:right="1170"/>
        <w:jc w:val="both"/>
        <w:rPr>
          <w:sz w:val="24"/>
          <w:szCs w:val="24"/>
        </w:rPr>
      </w:pPr>
      <w:r w:rsidRPr="0035593D">
        <w:rPr>
          <w:b/>
          <w:sz w:val="24"/>
          <w:szCs w:val="24"/>
        </w:rPr>
        <w:t>Finance Charge &amp; APR</w:t>
      </w:r>
      <w:r w:rsidRPr="00531B07">
        <w:rPr>
          <w:sz w:val="24"/>
          <w:szCs w:val="24"/>
        </w:rPr>
        <w:t xml:space="preserve">: Also, Payment Schedule and the Total of Payments (made for the mortgage). </w:t>
      </w:r>
    </w:p>
    <w:p w:rsidR="00531B07" w:rsidRPr="00531B07" w:rsidRDefault="00531B07" w:rsidP="005212C7">
      <w:pPr>
        <w:pStyle w:val="ListParagraph"/>
        <w:numPr>
          <w:ilvl w:val="1"/>
          <w:numId w:val="17"/>
        </w:numPr>
        <w:autoSpaceDE w:val="0"/>
        <w:autoSpaceDN w:val="0"/>
        <w:adjustRightInd w:val="0"/>
        <w:ind w:left="1800" w:right="1170"/>
        <w:jc w:val="both"/>
        <w:rPr>
          <w:sz w:val="24"/>
          <w:szCs w:val="24"/>
        </w:rPr>
      </w:pPr>
      <w:r w:rsidRPr="0035593D">
        <w:rPr>
          <w:b/>
          <w:sz w:val="24"/>
          <w:szCs w:val="24"/>
        </w:rPr>
        <w:t>Other terms and conditions</w:t>
      </w:r>
      <w:r w:rsidRPr="00531B07">
        <w:rPr>
          <w:sz w:val="24"/>
          <w:szCs w:val="24"/>
        </w:rPr>
        <w:t xml:space="preserve">.  This includes Demand Conditions (conditions which state when the loan would be called before maturity), explanations for prepayment and late payment policies, the Mortgage Assumption policy, the </w:t>
      </w:r>
      <w:r w:rsidRPr="00531B07">
        <w:rPr>
          <w:sz w:val="24"/>
          <w:szCs w:val="24"/>
        </w:rPr>
        <w:lastRenderedPageBreak/>
        <w:t xml:space="preserve">required Earnest Money deposit and any Tax implications of the mortgage payments.  </w:t>
      </w:r>
    </w:p>
    <w:p w:rsidR="00531B07" w:rsidRPr="00531B07" w:rsidRDefault="00531B07" w:rsidP="005212C7">
      <w:pPr>
        <w:pStyle w:val="ListParagraph"/>
        <w:numPr>
          <w:ilvl w:val="1"/>
          <w:numId w:val="17"/>
        </w:numPr>
        <w:autoSpaceDE w:val="0"/>
        <w:autoSpaceDN w:val="0"/>
        <w:adjustRightInd w:val="0"/>
        <w:ind w:left="1800" w:right="1170"/>
        <w:jc w:val="both"/>
        <w:rPr>
          <w:sz w:val="24"/>
          <w:szCs w:val="24"/>
        </w:rPr>
      </w:pPr>
      <w:r w:rsidRPr="0035593D">
        <w:rPr>
          <w:b/>
          <w:sz w:val="24"/>
          <w:szCs w:val="24"/>
        </w:rPr>
        <w:t>Warning of certain potential risks</w:t>
      </w:r>
      <w:r w:rsidRPr="00531B07">
        <w:rPr>
          <w:sz w:val="24"/>
          <w:szCs w:val="24"/>
        </w:rPr>
        <w:t xml:space="preserve">. This includes a number of potential risks that may be present in the contract.  For example, the fact that the borrower will lose their security interest in the home if they miss payments and that certain fees are paid to secure the lender’s interest in the home.  Also, </w:t>
      </w:r>
      <w:r w:rsidR="00B97A77">
        <w:rPr>
          <w:sz w:val="24"/>
          <w:szCs w:val="24"/>
        </w:rPr>
        <w:t>in the case of</w:t>
      </w:r>
      <w:r w:rsidRPr="00531B07">
        <w:rPr>
          <w:sz w:val="24"/>
          <w:szCs w:val="24"/>
        </w:rPr>
        <w:t xml:space="preserve"> ARMs, TILA requires disclosure of the possibility of negative amortization and/or a change in interest rates. Also, specific disclosure is required for a borrower who newly refinanced, assumed a mortgage or experienced an interest adjustment in a variable</w:t>
      </w:r>
      <w:r w:rsidR="00B8453F">
        <w:rPr>
          <w:sz w:val="24"/>
          <w:szCs w:val="24"/>
        </w:rPr>
        <w:t>-</w:t>
      </w:r>
      <w:r w:rsidRPr="00531B07">
        <w:rPr>
          <w:sz w:val="24"/>
          <w:szCs w:val="24"/>
        </w:rPr>
        <w:t>rate mortgage.</w:t>
      </w:r>
      <w:r w:rsidR="00D8033B">
        <w:rPr>
          <w:rStyle w:val="FootnoteReference"/>
          <w:sz w:val="24"/>
          <w:szCs w:val="24"/>
        </w:rPr>
        <w:footnoteReference w:id="11"/>
      </w:r>
    </w:p>
    <w:p w:rsidR="00531B07" w:rsidRPr="00531B07" w:rsidRDefault="00531B07" w:rsidP="00531B07">
      <w:pPr>
        <w:pStyle w:val="ListParagraph"/>
        <w:autoSpaceDE w:val="0"/>
        <w:autoSpaceDN w:val="0"/>
        <w:adjustRightInd w:val="0"/>
        <w:ind w:left="360" w:right="1170"/>
        <w:jc w:val="both"/>
        <w:rPr>
          <w:sz w:val="24"/>
          <w:szCs w:val="24"/>
        </w:rPr>
      </w:pPr>
    </w:p>
    <w:p w:rsidR="00531B07" w:rsidRPr="00531B07" w:rsidRDefault="00531B07" w:rsidP="00716890">
      <w:pPr>
        <w:pStyle w:val="Heading2"/>
      </w:pPr>
      <w:bookmarkStart w:id="18" w:name="_Toc393811633"/>
      <w:r w:rsidRPr="00531B07">
        <w:t>Specific Initial Disclosure Requirements</w:t>
      </w:r>
      <w:bookmarkEnd w:id="18"/>
      <w:r w:rsidRPr="00531B07">
        <w:t xml:space="preserve"> </w:t>
      </w:r>
    </w:p>
    <w:p w:rsidR="00531B07" w:rsidRPr="00531B07" w:rsidRDefault="00F878B8" w:rsidP="005212C7">
      <w:pPr>
        <w:pStyle w:val="ListParagraph"/>
        <w:numPr>
          <w:ilvl w:val="0"/>
          <w:numId w:val="18"/>
        </w:numPr>
        <w:autoSpaceDE w:val="0"/>
        <w:autoSpaceDN w:val="0"/>
        <w:adjustRightInd w:val="0"/>
        <w:ind w:right="1170"/>
        <w:jc w:val="both"/>
        <w:rPr>
          <w:sz w:val="24"/>
          <w:szCs w:val="24"/>
        </w:rPr>
      </w:pPr>
      <w:r w:rsidRPr="0035593D">
        <w:rPr>
          <w:b/>
          <w:sz w:val="24"/>
          <w:szCs w:val="24"/>
        </w:rPr>
        <w:t>Variable</w:t>
      </w:r>
      <w:r>
        <w:rPr>
          <w:b/>
          <w:sz w:val="24"/>
          <w:szCs w:val="24"/>
        </w:rPr>
        <w:t>-</w:t>
      </w:r>
      <w:r w:rsidR="00531B07" w:rsidRPr="0035593D">
        <w:rPr>
          <w:b/>
          <w:sz w:val="24"/>
          <w:szCs w:val="24"/>
        </w:rPr>
        <w:t>Rate Loan.</w:t>
      </w:r>
      <w:r w:rsidR="00531B07" w:rsidRPr="00531B07">
        <w:rPr>
          <w:sz w:val="24"/>
          <w:szCs w:val="24"/>
        </w:rPr>
        <w:t xml:space="preserve"> Various disclosures are required for </w:t>
      </w:r>
      <w:r w:rsidRPr="00531B07">
        <w:rPr>
          <w:sz w:val="24"/>
          <w:szCs w:val="24"/>
        </w:rPr>
        <w:t>variable</w:t>
      </w:r>
      <w:r>
        <w:rPr>
          <w:sz w:val="24"/>
          <w:szCs w:val="24"/>
        </w:rPr>
        <w:t>-</w:t>
      </w:r>
      <w:r w:rsidR="00531B07" w:rsidRPr="00531B07">
        <w:rPr>
          <w:sz w:val="24"/>
          <w:szCs w:val="24"/>
        </w:rPr>
        <w:t xml:space="preserve">rate loans.  Disclosure requirements include the interest rate </w:t>
      </w:r>
      <w:proofErr w:type="gramStart"/>
      <w:r w:rsidR="00531B07" w:rsidRPr="00531B07">
        <w:rPr>
          <w:sz w:val="24"/>
          <w:szCs w:val="24"/>
        </w:rPr>
        <w:t>cap,</w:t>
      </w:r>
      <w:proofErr w:type="gramEnd"/>
      <w:r w:rsidR="00531B07" w:rsidRPr="00531B07">
        <w:rPr>
          <w:sz w:val="24"/>
          <w:szCs w:val="24"/>
        </w:rPr>
        <w:t xml:space="preserve"> the index used, the margin charged, the effect of a rate increase, the frequency of rate changes, and </w:t>
      </w:r>
      <w:r w:rsidR="00B97A77">
        <w:rPr>
          <w:sz w:val="24"/>
          <w:szCs w:val="24"/>
        </w:rPr>
        <w:t xml:space="preserve">the </w:t>
      </w:r>
      <w:r w:rsidR="00531B07" w:rsidRPr="00531B07">
        <w:rPr>
          <w:sz w:val="24"/>
          <w:szCs w:val="24"/>
        </w:rPr>
        <w:t xml:space="preserve">conditions of </w:t>
      </w:r>
      <w:r w:rsidR="00B97A77">
        <w:rPr>
          <w:sz w:val="24"/>
          <w:szCs w:val="24"/>
        </w:rPr>
        <w:t xml:space="preserve">a </w:t>
      </w:r>
      <w:r w:rsidR="00531B07" w:rsidRPr="00531B07">
        <w:rPr>
          <w:sz w:val="24"/>
          <w:szCs w:val="24"/>
        </w:rPr>
        <w:t xml:space="preserve">rate increase.  Also, the booklet “Consumer Handbook on Adjustable Rate Mortgages,” prepared by the Board of Governors of the Federal Reserve System and the Office of Thrift Supervision, needs to be </w:t>
      </w:r>
      <w:r w:rsidR="00B97A77">
        <w:rPr>
          <w:sz w:val="24"/>
          <w:szCs w:val="24"/>
        </w:rPr>
        <w:t>made available</w:t>
      </w:r>
      <w:r w:rsidR="00B97A77" w:rsidRPr="00531B07">
        <w:rPr>
          <w:sz w:val="24"/>
          <w:szCs w:val="24"/>
        </w:rPr>
        <w:t xml:space="preserve"> </w:t>
      </w:r>
      <w:r w:rsidR="00531B07" w:rsidRPr="00531B07">
        <w:rPr>
          <w:sz w:val="24"/>
          <w:szCs w:val="24"/>
        </w:rPr>
        <w:t xml:space="preserve">to the consumer.  Also, the borrower needs to be given examples </w:t>
      </w:r>
      <w:r w:rsidR="00B97A77">
        <w:rPr>
          <w:sz w:val="24"/>
          <w:szCs w:val="24"/>
        </w:rPr>
        <w:t>on</w:t>
      </w:r>
      <w:r w:rsidR="00B97A77" w:rsidRPr="00531B07">
        <w:rPr>
          <w:sz w:val="24"/>
          <w:szCs w:val="24"/>
        </w:rPr>
        <w:t xml:space="preserve"> </w:t>
      </w:r>
      <w:r w:rsidR="00531B07" w:rsidRPr="00531B07">
        <w:rPr>
          <w:sz w:val="24"/>
          <w:szCs w:val="24"/>
        </w:rPr>
        <w:t>how changes of interest rates will affect an original loan amount of $10,000 (</w:t>
      </w:r>
      <w:r w:rsidR="005B4488">
        <w:rPr>
          <w:sz w:val="24"/>
          <w:szCs w:val="24"/>
        </w:rPr>
        <w:t>see</w:t>
      </w:r>
      <w:r w:rsidR="005B4488" w:rsidRPr="00531B07">
        <w:rPr>
          <w:sz w:val="24"/>
          <w:szCs w:val="24"/>
        </w:rPr>
        <w:t xml:space="preserve"> </w:t>
      </w:r>
      <w:r w:rsidR="00F623A5">
        <w:rPr>
          <w:sz w:val="24"/>
          <w:szCs w:val="24"/>
        </w:rPr>
        <w:t>1026</w:t>
      </w:r>
      <w:r w:rsidR="00531B07" w:rsidRPr="00531B07">
        <w:rPr>
          <w:sz w:val="24"/>
          <w:szCs w:val="24"/>
        </w:rPr>
        <w:t xml:space="preserve">.19 (b) </w:t>
      </w:r>
      <w:r w:rsidR="00693AA9">
        <w:rPr>
          <w:sz w:val="24"/>
          <w:szCs w:val="24"/>
        </w:rPr>
        <w:t xml:space="preserve">through (d) </w:t>
      </w:r>
      <w:r w:rsidR="00531B07" w:rsidRPr="00531B07">
        <w:rPr>
          <w:sz w:val="24"/>
          <w:szCs w:val="24"/>
        </w:rPr>
        <w:t xml:space="preserve">for more details about what disclosure is needed for </w:t>
      </w:r>
      <w:r w:rsidRPr="00531B07">
        <w:rPr>
          <w:sz w:val="24"/>
          <w:szCs w:val="24"/>
        </w:rPr>
        <w:t>variable</w:t>
      </w:r>
      <w:r>
        <w:rPr>
          <w:sz w:val="24"/>
          <w:szCs w:val="24"/>
        </w:rPr>
        <w:t>-</w:t>
      </w:r>
      <w:r w:rsidR="00531B07" w:rsidRPr="00531B07">
        <w:rPr>
          <w:sz w:val="24"/>
          <w:szCs w:val="24"/>
        </w:rPr>
        <w:t xml:space="preserve">rate loans).  </w:t>
      </w:r>
      <w:r w:rsidR="00306181">
        <w:rPr>
          <w:rStyle w:val="FootnoteReference"/>
          <w:sz w:val="24"/>
          <w:szCs w:val="24"/>
        </w:rPr>
        <w:footnoteReference w:id="12"/>
      </w:r>
    </w:p>
    <w:p w:rsidR="00531B07" w:rsidRPr="00531B07" w:rsidRDefault="00531B07" w:rsidP="005212C7">
      <w:pPr>
        <w:pStyle w:val="ListParagraph"/>
        <w:numPr>
          <w:ilvl w:val="0"/>
          <w:numId w:val="18"/>
        </w:numPr>
        <w:autoSpaceDE w:val="0"/>
        <w:autoSpaceDN w:val="0"/>
        <w:adjustRightInd w:val="0"/>
        <w:ind w:right="1170"/>
        <w:jc w:val="both"/>
        <w:rPr>
          <w:sz w:val="24"/>
          <w:szCs w:val="24"/>
        </w:rPr>
      </w:pPr>
      <w:r w:rsidRPr="0035593D">
        <w:rPr>
          <w:b/>
          <w:sz w:val="24"/>
          <w:szCs w:val="24"/>
        </w:rPr>
        <w:t>Reverse Mortgages</w:t>
      </w:r>
      <w:r w:rsidRPr="00531B07">
        <w:rPr>
          <w:sz w:val="24"/>
          <w:szCs w:val="24"/>
        </w:rPr>
        <w:t xml:space="preserve">. Many of the requirements for reverse mortgages are the same as </w:t>
      </w:r>
      <w:r w:rsidR="00B97A77">
        <w:rPr>
          <w:sz w:val="24"/>
          <w:szCs w:val="24"/>
        </w:rPr>
        <w:t>those which apply to</w:t>
      </w:r>
      <w:r w:rsidR="00B97A77" w:rsidRPr="00531B07">
        <w:rPr>
          <w:sz w:val="24"/>
          <w:szCs w:val="24"/>
        </w:rPr>
        <w:t xml:space="preserve"> </w:t>
      </w:r>
      <w:r w:rsidRPr="00531B07">
        <w:rPr>
          <w:sz w:val="24"/>
          <w:szCs w:val="24"/>
        </w:rPr>
        <w:t>regular loans</w:t>
      </w:r>
      <w:r w:rsidR="00B97A77">
        <w:rPr>
          <w:sz w:val="24"/>
          <w:szCs w:val="24"/>
        </w:rPr>
        <w:t>.</w:t>
      </w:r>
      <w:r w:rsidR="00B97A77" w:rsidRPr="00531B07">
        <w:rPr>
          <w:sz w:val="24"/>
          <w:szCs w:val="24"/>
        </w:rPr>
        <w:t xml:space="preserve"> </w:t>
      </w:r>
      <w:r w:rsidR="00B97A77">
        <w:rPr>
          <w:sz w:val="24"/>
          <w:szCs w:val="24"/>
        </w:rPr>
        <w:t xml:space="preserve"> However,</w:t>
      </w:r>
      <w:r w:rsidR="00B97A77" w:rsidRPr="00531B07">
        <w:rPr>
          <w:sz w:val="24"/>
          <w:szCs w:val="24"/>
        </w:rPr>
        <w:t xml:space="preserve"> </w:t>
      </w:r>
      <w:r w:rsidRPr="00531B07">
        <w:rPr>
          <w:sz w:val="24"/>
          <w:szCs w:val="24"/>
        </w:rPr>
        <w:t xml:space="preserve">there are additional </w:t>
      </w:r>
      <w:r w:rsidR="00B97A77">
        <w:rPr>
          <w:sz w:val="24"/>
          <w:szCs w:val="24"/>
        </w:rPr>
        <w:t>specific</w:t>
      </w:r>
      <w:r w:rsidR="00B97A77" w:rsidRPr="00531B07">
        <w:rPr>
          <w:sz w:val="24"/>
          <w:szCs w:val="24"/>
        </w:rPr>
        <w:t xml:space="preserve"> </w:t>
      </w:r>
      <w:r w:rsidRPr="00531B07">
        <w:rPr>
          <w:sz w:val="24"/>
          <w:szCs w:val="24"/>
        </w:rPr>
        <w:t xml:space="preserve">requirements.  For example, the mortgage loan originator must show cash flow scenarios to applicants using the following examples:  </w:t>
      </w:r>
    </w:p>
    <w:p w:rsidR="00531B07" w:rsidRPr="00531B07" w:rsidRDefault="00531B07" w:rsidP="005212C7">
      <w:pPr>
        <w:pStyle w:val="ListParagraph"/>
        <w:numPr>
          <w:ilvl w:val="1"/>
          <w:numId w:val="18"/>
        </w:numPr>
        <w:autoSpaceDE w:val="0"/>
        <w:autoSpaceDN w:val="0"/>
        <w:adjustRightInd w:val="0"/>
        <w:ind w:right="1170"/>
        <w:jc w:val="both"/>
        <w:rPr>
          <w:sz w:val="24"/>
          <w:szCs w:val="24"/>
        </w:rPr>
      </w:pPr>
      <w:r w:rsidRPr="00531B07">
        <w:rPr>
          <w:sz w:val="24"/>
          <w:szCs w:val="24"/>
        </w:rPr>
        <w:t>(a) The annual appreciation rate of the house at 0, 4 and 8 percent</w:t>
      </w:r>
    </w:p>
    <w:p w:rsidR="00531B07" w:rsidRPr="00531B07" w:rsidRDefault="00531B07" w:rsidP="005212C7">
      <w:pPr>
        <w:pStyle w:val="ListParagraph"/>
        <w:numPr>
          <w:ilvl w:val="1"/>
          <w:numId w:val="18"/>
        </w:numPr>
        <w:autoSpaceDE w:val="0"/>
        <w:autoSpaceDN w:val="0"/>
        <w:adjustRightInd w:val="0"/>
        <w:ind w:right="1170"/>
        <w:jc w:val="both"/>
        <w:rPr>
          <w:sz w:val="24"/>
          <w:szCs w:val="24"/>
        </w:rPr>
      </w:pPr>
      <w:r w:rsidRPr="00531B07">
        <w:rPr>
          <w:sz w:val="24"/>
          <w:szCs w:val="24"/>
        </w:rPr>
        <w:t xml:space="preserve">(b) An assumed loan period of 2 years </w:t>
      </w:r>
    </w:p>
    <w:p w:rsidR="00531B07" w:rsidRDefault="00531B07" w:rsidP="005212C7">
      <w:pPr>
        <w:pStyle w:val="ListParagraph"/>
        <w:numPr>
          <w:ilvl w:val="1"/>
          <w:numId w:val="18"/>
        </w:numPr>
        <w:autoSpaceDE w:val="0"/>
        <w:autoSpaceDN w:val="0"/>
        <w:adjustRightInd w:val="0"/>
        <w:ind w:right="1170"/>
        <w:jc w:val="both"/>
        <w:rPr>
          <w:sz w:val="24"/>
          <w:szCs w:val="24"/>
        </w:rPr>
      </w:pPr>
      <w:r w:rsidRPr="00531B07">
        <w:rPr>
          <w:sz w:val="24"/>
          <w:szCs w:val="24"/>
        </w:rPr>
        <w:t xml:space="preserve">(c) An actuarial life expectancy of the youngest borrower multiplied by 1 and 1.4 and, optionally, 0.5 (see subpart D </w:t>
      </w:r>
      <w:r w:rsidR="00F623A5">
        <w:rPr>
          <w:sz w:val="24"/>
          <w:szCs w:val="24"/>
        </w:rPr>
        <w:t>1026</w:t>
      </w:r>
      <w:r w:rsidRPr="00531B07">
        <w:rPr>
          <w:sz w:val="24"/>
          <w:szCs w:val="24"/>
        </w:rPr>
        <w:t xml:space="preserve">.31 and </w:t>
      </w:r>
      <w:r w:rsidR="00F623A5">
        <w:rPr>
          <w:sz w:val="24"/>
          <w:szCs w:val="24"/>
        </w:rPr>
        <w:t>1026</w:t>
      </w:r>
      <w:r w:rsidRPr="00531B07">
        <w:rPr>
          <w:sz w:val="24"/>
          <w:szCs w:val="24"/>
        </w:rPr>
        <w:t>.33 for further information.)</w:t>
      </w:r>
      <w:r w:rsidR="00DB6289">
        <w:rPr>
          <w:rStyle w:val="FootnoteReference"/>
          <w:sz w:val="24"/>
          <w:szCs w:val="24"/>
        </w:rPr>
        <w:footnoteReference w:id="13"/>
      </w:r>
    </w:p>
    <w:p w:rsidR="0035593D" w:rsidRPr="00531B07" w:rsidRDefault="0035593D" w:rsidP="0035593D">
      <w:pPr>
        <w:pStyle w:val="ListParagraph"/>
        <w:autoSpaceDE w:val="0"/>
        <w:autoSpaceDN w:val="0"/>
        <w:adjustRightInd w:val="0"/>
        <w:ind w:left="3240" w:right="1170"/>
        <w:jc w:val="both"/>
        <w:rPr>
          <w:sz w:val="24"/>
          <w:szCs w:val="24"/>
        </w:rPr>
      </w:pPr>
    </w:p>
    <w:p w:rsidR="00706949" w:rsidRDefault="00531B07" w:rsidP="00531B07">
      <w:pPr>
        <w:pStyle w:val="ListParagraph"/>
        <w:autoSpaceDE w:val="0"/>
        <w:autoSpaceDN w:val="0"/>
        <w:adjustRightInd w:val="0"/>
        <w:ind w:right="1170"/>
        <w:jc w:val="both"/>
        <w:rPr>
          <w:sz w:val="24"/>
          <w:szCs w:val="24"/>
        </w:rPr>
      </w:pPr>
      <w:r w:rsidRPr="00531B07">
        <w:rPr>
          <w:sz w:val="24"/>
          <w:szCs w:val="24"/>
        </w:rPr>
        <w:t xml:space="preserve">Note: Certain disclosure requirements of TILA can be very specific.  For example, when calculating APR, you </w:t>
      </w:r>
      <w:r w:rsidR="005D0BC9">
        <w:rPr>
          <w:sz w:val="24"/>
          <w:szCs w:val="24"/>
        </w:rPr>
        <w:t>do not</w:t>
      </w:r>
      <w:r w:rsidR="005D0BC9" w:rsidRPr="00531B07">
        <w:rPr>
          <w:sz w:val="24"/>
          <w:szCs w:val="24"/>
        </w:rPr>
        <w:t xml:space="preserve"> </w:t>
      </w:r>
      <w:r w:rsidRPr="00531B07">
        <w:rPr>
          <w:sz w:val="24"/>
          <w:szCs w:val="24"/>
        </w:rPr>
        <w:t xml:space="preserve">need to take into account </w:t>
      </w:r>
      <w:r w:rsidR="005D0BC9">
        <w:rPr>
          <w:sz w:val="24"/>
          <w:szCs w:val="24"/>
        </w:rPr>
        <w:t>the</w:t>
      </w:r>
      <w:r w:rsidRPr="00531B07">
        <w:rPr>
          <w:sz w:val="24"/>
          <w:szCs w:val="24"/>
        </w:rPr>
        <w:t xml:space="preserve"> number of days</w:t>
      </w:r>
      <w:r w:rsidR="005D0BC9">
        <w:rPr>
          <w:sz w:val="24"/>
          <w:szCs w:val="24"/>
        </w:rPr>
        <w:t xml:space="preserve"> in each calendar month</w:t>
      </w:r>
      <w:r w:rsidRPr="00531B07">
        <w:rPr>
          <w:sz w:val="24"/>
          <w:szCs w:val="24"/>
        </w:rPr>
        <w:t>.  Most of the time, commercial software will ensure that these calculations are done correctly and that you fulfill all the disclosure</w:t>
      </w:r>
      <w:r w:rsidR="00DB6289">
        <w:rPr>
          <w:sz w:val="24"/>
          <w:szCs w:val="24"/>
        </w:rPr>
        <w:t xml:space="preserve"> </w:t>
      </w:r>
      <w:r w:rsidRPr="00531B07">
        <w:rPr>
          <w:sz w:val="24"/>
          <w:szCs w:val="24"/>
        </w:rPr>
        <w:t>requirements.</w:t>
      </w:r>
    </w:p>
    <w:p w:rsidR="00706949" w:rsidRDefault="00706949" w:rsidP="00531B07">
      <w:pPr>
        <w:pStyle w:val="ListParagraph"/>
        <w:autoSpaceDE w:val="0"/>
        <w:autoSpaceDN w:val="0"/>
        <w:adjustRightInd w:val="0"/>
        <w:ind w:right="1170"/>
        <w:jc w:val="both"/>
        <w:rPr>
          <w:sz w:val="24"/>
          <w:szCs w:val="24"/>
        </w:rPr>
      </w:pPr>
    </w:p>
    <w:p w:rsidR="00706949" w:rsidRDefault="00706949" w:rsidP="00531B07">
      <w:pPr>
        <w:pStyle w:val="ListParagraph"/>
        <w:autoSpaceDE w:val="0"/>
        <w:autoSpaceDN w:val="0"/>
        <w:adjustRightInd w:val="0"/>
        <w:ind w:right="1170"/>
        <w:jc w:val="both"/>
        <w:rPr>
          <w:sz w:val="24"/>
          <w:szCs w:val="24"/>
        </w:rPr>
      </w:pPr>
    </w:p>
    <w:p w:rsidR="000E1709" w:rsidRDefault="00657BA9" w:rsidP="00F63060">
      <w:pPr>
        <w:pStyle w:val="Heading2"/>
      </w:pPr>
      <w:bookmarkStart w:id="19" w:name="_Toc393811634"/>
      <w:r w:rsidRPr="00657BA9">
        <w:t>Right to Rescission for Open-End Credits (Subpart B 1026.15)</w:t>
      </w:r>
      <w:bookmarkEnd w:id="19"/>
    </w:p>
    <w:p w:rsidR="00706949" w:rsidRDefault="00706949" w:rsidP="00706949">
      <w:pPr>
        <w:autoSpaceDE w:val="0"/>
        <w:autoSpaceDN w:val="0"/>
        <w:adjustRightInd w:val="0"/>
        <w:ind w:left="1080" w:right="1170"/>
        <w:jc w:val="both"/>
        <w:rPr>
          <w:sz w:val="24"/>
          <w:szCs w:val="24"/>
        </w:rPr>
      </w:pPr>
      <w:r w:rsidRPr="00C46707">
        <w:rPr>
          <w:sz w:val="24"/>
          <w:szCs w:val="24"/>
        </w:rPr>
        <w:t xml:space="preserve">One significant consumer protection of TILA is to provide </w:t>
      </w:r>
      <w:r>
        <w:rPr>
          <w:sz w:val="24"/>
          <w:szCs w:val="24"/>
        </w:rPr>
        <w:t>a</w:t>
      </w:r>
      <w:r w:rsidRPr="00C46707">
        <w:rPr>
          <w:sz w:val="24"/>
          <w:szCs w:val="24"/>
        </w:rPr>
        <w:t xml:space="preserve"> right </w:t>
      </w:r>
      <w:r>
        <w:rPr>
          <w:sz w:val="24"/>
          <w:szCs w:val="24"/>
        </w:rPr>
        <w:t>of</w:t>
      </w:r>
      <w:r w:rsidRPr="00C46707">
        <w:rPr>
          <w:sz w:val="24"/>
          <w:szCs w:val="24"/>
        </w:rPr>
        <w:t xml:space="preserve"> rescission.  The right of rescission allows owners(s) time to reexamine their credit agreements and cost disclosures and to reconsider whether they want to place their home</w:t>
      </w:r>
      <w:r>
        <w:rPr>
          <w:sz w:val="24"/>
          <w:szCs w:val="24"/>
        </w:rPr>
        <w:t>(</w:t>
      </w:r>
      <w:r w:rsidRPr="00C46707">
        <w:rPr>
          <w:sz w:val="24"/>
          <w:szCs w:val="24"/>
        </w:rPr>
        <w:t>s</w:t>
      </w:r>
      <w:r>
        <w:rPr>
          <w:sz w:val="24"/>
          <w:szCs w:val="24"/>
        </w:rPr>
        <w:t>)</w:t>
      </w:r>
      <w:r w:rsidRPr="00C46707">
        <w:rPr>
          <w:sz w:val="24"/>
          <w:szCs w:val="24"/>
        </w:rPr>
        <w:t xml:space="preserve"> at risk by offering it/them as security for the credit.</w:t>
      </w:r>
    </w:p>
    <w:p w:rsidR="00706949" w:rsidRDefault="00706949" w:rsidP="00706949">
      <w:pPr>
        <w:autoSpaceDE w:val="0"/>
        <w:autoSpaceDN w:val="0"/>
        <w:adjustRightInd w:val="0"/>
        <w:ind w:left="1080" w:right="1170"/>
        <w:jc w:val="both"/>
        <w:rPr>
          <w:sz w:val="24"/>
          <w:szCs w:val="24"/>
        </w:rPr>
      </w:pPr>
    </w:p>
    <w:p w:rsidR="000E1709" w:rsidRDefault="00657BA9" w:rsidP="001B4357">
      <w:pPr>
        <w:pStyle w:val="Heading3"/>
      </w:pPr>
      <w:r w:rsidRPr="00657BA9">
        <w:t>Regulation</w:t>
      </w:r>
    </w:p>
    <w:p w:rsidR="00706949" w:rsidRDefault="00706949" w:rsidP="00706949">
      <w:pPr>
        <w:autoSpaceDE w:val="0"/>
        <w:autoSpaceDN w:val="0"/>
        <w:adjustRightInd w:val="0"/>
        <w:ind w:left="1080" w:right="1170"/>
        <w:jc w:val="both"/>
        <w:rPr>
          <w:sz w:val="24"/>
          <w:szCs w:val="24"/>
        </w:rPr>
      </w:pPr>
      <w:r w:rsidRPr="00BA1CF8">
        <w:rPr>
          <w:sz w:val="24"/>
          <w:szCs w:val="24"/>
        </w:rPr>
        <w:t>Generally, TILA’s right of rescission applies to home equity loans or to new lender refinancing transactions as well as cash</w:t>
      </w:r>
      <w:r>
        <w:rPr>
          <w:sz w:val="24"/>
          <w:szCs w:val="24"/>
        </w:rPr>
        <w:t>-</w:t>
      </w:r>
      <w:r w:rsidRPr="00BA1CF8">
        <w:rPr>
          <w:sz w:val="24"/>
          <w:szCs w:val="24"/>
        </w:rPr>
        <w:t>out transactions if the home is the owners’ principal dwelling.  State</w:t>
      </w:r>
      <w:r>
        <w:rPr>
          <w:sz w:val="24"/>
          <w:szCs w:val="24"/>
        </w:rPr>
        <w:t>-</w:t>
      </w:r>
      <w:r w:rsidRPr="00BA1CF8">
        <w:rPr>
          <w:sz w:val="24"/>
          <w:szCs w:val="24"/>
        </w:rPr>
        <w:t xml:space="preserve">level regulation may vary.  </w:t>
      </w:r>
    </w:p>
    <w:p w:rsidR="00706949" w:rsidRPr="00BA1CF8" w:rsidRDefault="00706949" w:rsidP="00706949">
      <w:pPr>
        <w:autoSpaceDE w:val="0"/>
        <w:autoSpaceDN w:val="0"/>
        <w:adjustRightInd w:val="0"/>
        <w:ind w:left="1080" w:right="1170"/>
        <w:jc w:val="both"/>
        <w:rPr>
          <w:sz w:val="24"/>
          <w:szCs w:val="24"/>
        </w:rPr>
      </w:pPr>
    </w:p>
    <w:p w:rsidR="00706949" w:rsidRDefault="00706949" w:rsidP="00706949">
      <w:pPr>
        <w:autoSpaceDE w:val="0"/>
        <w:autoSpaceDN w:val="0"/>
        <w:adjustRightInd w:val="0"/>
        <w:ind w:left="1080" w:right="1170"/>
        <w:jc w:val="both"/>
        <w:rPr>
          <w:sz w:val="24"/>
          <w:szCs w:val="24"/>
        </w:rPr>
      </w:pPr>
      <w:r w:rsidRPr="00BA1CF8">
        <w:rPr>
          <w:sz w:val="24"/>
          <w:szCs w:val="24"/>
        </w:rPr>
        <w:t xml:space="preserve">Consumers have 3 business days to evaluate a transaction and terminate the agreement without any further financial obligation.  Their reason can be as simple as just a change of heart.  </w:t>
      </w:r>
      <w:r>
        <w:rPr>
          <w:sz w:val="24"/>
          <w:szCs w:val="24"/>
        </w:rPr>
        <w:t>‘</w:t>
      </w:r>
      <w:r w:rsidRPr="00BA1CF8">
        <w:rPr>
          <w:sz w:val="24"/>
          <w:szCs w:val="24"/>
        </w:rPr>
        <w:t>Business day</w:t>
      </w:r>
      <w:r>
        <w:rPr>
          <w:sz w:val="24"/>
          <w:szCs w:val="24"/>
        </w:rPr>
        <w:t>’</w:t>
      </w:r>
      <w:r w:rsidRPr="00BA1CF8">
        <w:rPr>
          <w:sz w:val="24"/>
          <w:szCs w:val="24"/>
        </w:rPr>
        <w:t xml:space="preserve"> </w:t>
      </w:r>
      <w:r>
        <w:rPr>
          <w:sz w:val="24"/>
          <w:szCs w:val="24"/>
        </w:rPr>
        <w:t>refers to</w:t>
      </w:r>
      <w:r w:rsidRPr="00BA1CF8">
        <w:rPr>
          <w:sz w:val="24"/>
          <w:szCs w:val="24"/>
        </w:rPr>
        <w:t xml:space="preserve"> all calendar days except Sundays and the 10 legal public holidays. </w:t>
      </w:r>
    </w:p>
    <w:p w:rsidR="00706949" w:rsidRPr="00BA1CF8" w:rsidRDefault="00706949" w:rsidP="00706949">
      <w:pPr>
        <w:autoSpaceDE w:val="0"/>
        <w:autoSpaceDN w:val="0"/>
        <w:adjustRightInd w:val="0"/>
        <w:ind w:left="1080" w:right="1170"/>
        <w:jc w:val="both"/>
        <w:rPr>
          <w:sz w:val="24"/>
          <w:szCs w:val="24"/>
        </w:rPr>
      </w:pPr>
    </w:p>
    <w:p w:rsidR="00706949" w:rsidRDefault="00706949" w:rsidP="00706949">
      <w:pPr>
        <w:autoSpaceDE w:val="0"/>
        <w:autoSpaceDN w:val="0"/>
        <w:adjustRightInd w:val="0"/>
        <w:ind w:left="1080" w:right="1170"/>
        <w:jc w:val="both"/>
        <w:rPr>
          <w:sz w:val="24"/>
          <w:szCs w:val="24"/>
        </w:rPr>
      </w:pPr>
      <w:r w:rsidRPr="00BA1CF8">
        <w:rPr>
          <w:sz w:val="24"/>
          <w:szCs w:val="24"/>
        </w:rPr>
        <w:t>Specifically, according to Reg</w:t>
      </w:r>
      <w:r>
        <w:rPr>
          <w:sz w:val="24"/>
          <w:szCs w:val="24"/>
        </w:rPr>
        <w:t>.</w:t>
      </w:r>
      <w:r w:rsidRPr="00BA1CF8">
        <w:rPr>
          <w:sz w:val="24"/>
          <w:szCs w:val="24"/>
        </w:rPr>
        <w:t xml:space="preserve"> Z, the consumer may exercise the right to rescind until midnight of the third business day following consummation of the transaction.  If the mortgage closed on Monday, then this </w:t>
      </w:r>
      <w:r>
        <w:rPr>
          <w:sz w:val="24"/>
          <w:szCs w:val="24"/>
        </w:rPr>
        <w:t xml:space="preserve">3-business-day </w:t>
      </w:r>
      <w:r w:rsidRPr="00BA1CF8">
        <w:rPr>
          <w:sz w:val="24"/>
          <w:szCs w:val="24"/>
        </w:rPr>
        <w:t xml:space="preserve">period ends at midnight </w:t>
      </w:r>
      <w:r>
        <w:rPr>
          <w:sz w:val="24"/>
          <w:szCs w:val="24"/>
        </w:rPr>
        <w:t>on</w:t>
      </w:r>
      <w:r w:rsidRPr="00BA1CF8">
        <w:rPr>
          <w:sz w:val="24"/>
          <w:szCs w:val="24"/>
        </w:rPr>
        <w:t xml:space="preserve"> Thursday.</w:t>
      </w:r>
    </w:p>
    <w:p w:rsidR="00706949" w:rsidRPr="00BA1CF8" w:rsidRDefault="00706949" w:rsidP="00706949">
      <w:pPr>
        <w:autoSpaceDE w:val="0"/>
        <w:autoSpaceDN w:val="0"/>
        <w:adjustRightInd w:val="0"/>
        <w:ind w:left="1080" w:right="1170"/>
        <w:jc w:val="both"/>
        <w:rPr>
          <w:sz w:val="24"/>
          <w:szCs w:val="24"/>
        </w:rPr>
      </w:pPr>
    </w:p>
    <w:p w:rsidR="00706949" w:rsidRDefault="00706949" w:rsidP="00706949">
      <w:pPr>
        <w:autoSpaceDE w:val="0"/>
        <w:autoSpaceDN w:val="0"/>
        <w:adjustRightInd w:val="0"/>
        <w:ind w:left="1080" w:right="1170"/>
        <w:jc w:val="both"/>
        <w:rPr>
          <w:sz w:val="24"/>
          <w:szCs w:val="24"/>
        </w:rPr>
      </w:pPr>
      <w:r w:rsidRPr="00BA1CF8">
        <w:rPr>
          <w:sz w:val="24"/>
          <w:szCs w:val="24"/>
        </w:rPr>
        <w:t>Once the mortgage is rescinded, the security interest becomes void and</w:t>
      </w:r>
      <w:r>
        <w:rPr>
          <w:sz w:val="24"/>
          <w:szCs w:val="24"/>
        </w:rPr>
        <w:t>,</w:t>
      </w:r>
      <w:r w:rsidRPr="00BA1CF8">
        <w:rPr>
          <w:sz w:val="24"/>
          <w:szCs w:val="24"/>
        </w:rPr>
        <w:t xml:space="preserve"> within 20 calendar days after the receipt of a notice of rescission, the lender must return all funds and/or property.  The applicant is allowed to waive the right to rescind.  </w:t>
      </w:r>
    </w:p>
    <w:p w:rsidR="00706949" w:rsidRPr="00BA1CF8" w:rsidRDefault="00706949" w:rsidP="00706949">
      <w:pPr>
        <w:autoSpaceDE w:val="0"/>
        <w:autoSpaceDN w:val="0"/>
        <w:adjustRightInd w:val="0"/>
        <w:ind w:left="1080" w:right="1170"/>
        <w:jc w:val="both"/>
        <w:rPr>
          <w:sz w:val="24"/>
          <w:szCs w:val="24"/>
        </w:rPr>
      </w:pPr>
    </w:p>
    <w:p w:rsidR="00706949" w:rsidRDefault="00706949" w:rsidP="00706949">
      <w:pPr>
        <w:autoSpaceDE w:val="0"/>
        <w:autoSpaceDN w:val="0"/>
        <w:adjustRightInd w:val="0"/>
        <w:ind w:left="1080" w:right="1170"/>
        <w:jc w:val="both"/>
        <w:rPr>
          <w:sz w:val="24"/>
          <w:szCs w:val="24"/>
        </w:rPr>
      </w:pPr>
      <w:r w:rsidRPr="00BA1CF8">
        <w:rPr>
          <w:sz w:val="24"/>
          <w:szCs w:val="24"/>
        </w:rPr>
        <w:t xml:space="preserve">For a rescindable transaction, before mortgage settlement, lenders are required to deliver two copies of a document called the “Notice of The Right to Rescind” and one copy of the form that can be used for rescission by each owner of the residence. The notice must be on a separate document that identifies the date when the rescission expires, the effect of rescission and how to exercise the right to rescind.  The mortgage loan originator must explain to the applicant the procedures </w:t>
      </w:r>
      <w:r>
        <w:rPr>
          <w:sz w:val="24"/>
          <w:szCs w:val="24"/>
        </w:rPr>
        <w:t>that</w:t>
      </w:r>
      <w:r w:rsidRPr="00BA1CF8">
        <w:rPr>
          <w:sz w:val="24"/>
          <w:szCs w:val="24"/>
        </w:rPr>
        <w:t xml:space="preserve"> must </w:t>
      </w:r>
      <w:r>
        <w:rPr>
          <w:sz w:val="24"/>
          <w:szCs w:val="24"/>
        </w:rPr>
        <w:t xml:space="preserve">be </w:t>
      </w:r>
      <w:r w:rsidRPr="00BA1CF8">
        <w:rPr>
          <w:sz w:val="24"/>
          <w:szCs w:val="24"/>
        </w:rPr>
        <w:t>follow</w:t>
      </w:r>
      <w:r>
        <w:rPr>
          <w:sz w:val="24"/>
          <w:szCs w:val="24"/>
        </w:rPr>
        <w:t>ed</w:t>
      </w:r>
      <w:r w:rsidRPr="00BA1CF8">
        <w:rPr>
          <w:sz w:val="24"/>
          <w:szCs w:val="24"/>
        </w:rPr>
        <w:t xml:space="preserve"> </w:t>
      </w:r>
      <w:r>
        <w:rPr>
          <w:sz w:val="24"/>
          <w:szCs w:val="24"/>
        </w:rPr>
        <w:t xml:space="preserve">in order </w:t>
      </w:r>
      <w:r w:rsidRPr="00BA1CF8">
        <w:rPr>
          <w:sz w:val="24"/>
          <w:szCs w:val="24"/>
        </w:rPr>
        <w:t>to rescind the transaction. At their choosing, the owner can rescind by mail.  In this case, the rescission would be effective on the post date of the mail.</w:t>
      </w:r>
    </w:p>
    <w:p w:rsidR="00706949" w:rsidRDefault="00706949" w:rsidP="00706949">
      <w:pPr>
        <w:autoSpaceDE w:val="0"/>
        <w:autoSpaceDN w:val="0"/>
        <w:adjustRightInd w:val="0"/>
        <w:ind w:left="1080" w:right="1170"/>
        <w:jc w:val="both"/>
        <w:rPr>
          <w:sz w:val="24"/>
          <w:szCs w:val="24"/>
        </w:rPr>
      </w:pPr>
    </w:p>
    <w:p w:rsidR="00B259C9" w:rsidRDefault="00B259C9" w:rsidP="001B4357">
      <w:pPr>
        <w:pStyle w:val="Heading3"/>
      </w:pPr>
    </w:p>
    <w:p w:rsidR="000E1709" w:rsidRDefault="00706949" w:rsidP="001B4357">
      <w:pPr>
        <w:pStyle w:val="Heading3"/>
      </w:pPr>
      <w:r>
        <w:t xml:space="preserve"> </w:t>
      </w:r>
      <w:r w:rsidRPr="00BA1CF8">
        <w:t>Right to Rescission Form</w:t>
      </w:r>
    </w:p>
    <w:p w:rsidR="00706949" w:rsidRDefault="00706949" w:rsidP="00706949">
      <w:pPr>
        <w:pStyle w:val="ListParagraph"/>
        <w:autoSpaceDE w:val="0"/>
        <w:autoSpaceDN w:val="0"/>
        <w:adjustRightInd w:val="0"/>
        <w:ind w:left="1080" w:right="1170"/>
        <w:rPr>
          <w:rFonts w:ascii="Humnst777 Lt BT" w:hAnsi="Humnst777 Lt BT"/>
          <w:color w:val="365F91" w:themeColor="accent1" w:themeShade="BF"/>
          <w:sz w:val="36"/>
          <w:szCs w:val="36"/>
        </w:rPr>
      </w:pPr>
    </w:p>
    <w:p w:rsidR="00706949" w:rsidRDefault="00D32480" w:rsidP="00706949">
      <w:pPr>
        <w:pStyle w:val="ListParagraph"/>
        <w:autoSpaceDE w:val="0"/>
        <w:autoSpaceDN w:val="0"/>
        <w:adjustRightInd w:val="0"/>
        <w:ind w:left="1080" w:right="1170"/>
        <w:rPr>
          <w:rFonts w:ascii="Humnst777 Lt BT" w:hAnsi="Humnst777 Lt BT"/>
          <w:color w:val="365F91" w:themeColor="accent1" w:themeShade="BF"/>
          <w:sz w:val="36"/>
          <w:szCs w:val="36"/>
        </w:rPr>
      </w:pPr>
      <w:r>
        <w:rPr>
          <w:rFonts w:ascii="Humnst777 Lt BT" w:hAnsi="Humnst777 Lt BT"/>
          <w:noProof/>
          <w:color w:val="365F91" w:themeColor="accent1" w:themeShade="BF"/>
          <w:sz w:val="36"/>
          <w:szCs w:val="36"/>
        </w:rPr>
        <w:lastRenderedPageBreak/>
        <w:drawing>
          <wp:inline distT="0" distB="0" distL="0" distR="0">
            <wp:extent cx="5521081" cy="6179185"/>
            <wp:effectExtent l="19050" t="0" r="3419"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stretch>
                      <a:fillRect/>
                    </a:stretch>
                  </pic:blipFill>
                  <pic:spPr bwMode="auto">
                    <a:xfrm>
                      <a:off x="0" y="0"/>
                      <a:ext cx="5521081" cy="6179185"/>
                    </a:xfrm>
                    <a:prstGeom prst="rect">
                      <a:avLst/>
                    </a:prstGeom>
                    <a:noFill/>
                    <a:ln w="9525">
                      <a:noFill/>
                      <a:miter lim="800000"/>
                      <a:headEnd/>
                      <a:tailEnd/>
                    </a:ln>
                  </pic:spPr>
                </pic:pic>
              </a:graphicData>
            </a:graphic>
          </wp:inline>
        </w:drawing>
      </w:r>
    </w:p>
    <w:p w:rsidR="00706949" w:rsidRDefault="00706949" w:rsidP="00706949">
      <w:pPr>
        <w:pStyle w:val="ListParagraph"/>
        <w:autoSpaceDE w:val="0"/>
        <w:autoSpaceDN w:val="0"/>
        <w:adjustRightInd w:val="0"/>
        <w:ind w:left="1080" w:right="1170"/>
        <w:rPr>
          <w:rFonts w:ascii="Humnst777 Lt BT" w:hAnsi="Humnst777 Lt BT"/>
          <w:color w:val="365F91" w:themeColor="accent1" w:themeShade="BF"/>
          <w:sz w:val="36"/>
          <w:szCs w:val="36"/>
        </w:rPr>
      </w:pPr>
    </w:p>
    <w:p w:rsidR="00706949" w:rsidRDefault="00706949" w:rsidP="00706949">
      <w:pPr>
        <w:pStyle w:val="ListParagraph"/>
        <w:autoSpaceDE w:val="0"/>
        <w:autoSpaceDN w:val="0"/>
        <w:adjustRightInd w:val="0"/>
        <w:ind w:left="1080" w:right="1170"/>
        <w:jc w:val="both"/>
        <w:rPr>
          <w:sz w:val="24"/>
          <w:szCs w:val="24"/>
        </w:rPr>
      </w:pPr>
      <w:r w:rsidRPr="00936F1B">
        <w:rPr>
          <w:sz w:val="24"/>
          <w:szCs w:val="24"/>
        </w:rPr>
        <w:t xml:space="preserve">Let’s look at the sample Right to Rescission form above for a moment.  This is a sample given by the government that complies with TILA. More importantly, it states that the owner has </w:t>
      </w:r>
      <w:r>
        <w:rPr>
          <w:sz w:val="24"/>
          <w:szCs w:val="24"/>
        </w:rPr>
        <w:t xml:space="preserve">the </w:t>
      </w:r>
      <w:r w:rsidRPr="00936F1B">
        <w:rPr>
          <w:sz w:val="24"/>
          <w:szCs w:val="24"/>
        </w:rPr>
        <w:t xml:space="preserve">right to rescind </w:t>
      </w:r>
      <w:r>
        <w:rPr>
          <w:sz w:val="24"/>
          <w:szCs w:val="24"/>
        </w:rPr>
        <w:t xml:space="preserve">within </w:t>
      </w:r>
      <w:r w:rsidRPr="00936F1B">
        <w:rPr>
          <w:sz w:val="24"/>
          <w:szCs w:val="24"/>
        </w:rPr>
        <w:t xml:space="preserve">3 BUSINESS DAYS </w:t>
      </w:r>
      <w:r>
        <w:rPr>
          <w:sz w:val="24"/>
          <w:szCs w:val="24"/>
        </w:rPr>
        <w:t xml:space="preserve">from whichever of the following events occurred last: </w:t>
      </w:r>
      <w:r w:rsidRPr="00936F1B">
        <w:rPr>
          <w:sz w:val="24"/>
          <w:szCs w:val="24"/>
        </w:rPr>
        <w:t>the mortgage closing date</w:t>
      </w:r>
      <w:r>
        <w:rPr>
          <w:sz w:val="24"/>
          <w:szCs w:val="24"/>
        </w:rPr>
        <w:t>;</w:t>
      </w:r>
      <w:r w:rsidRPr="00936F1B">
        <w:rPr>
          <w:sz w:val="24"/>
          <w:szCs w:val="24"/>
        </w:rPr>
        <w:t xml:space="preserve"> the date the owner receive</w:t>
      </w:r>
      <w:r>
        <w:rPr>
          <w:sz w:val="24"/>
          <w:szCs w:val="24"/>
        </w:rPr>
        <w:t>d</w:t>
      </w:r>
      <w:r w:rsidRPr="00936F1B">
        <w:rPr>
          <w:sz w:val="24"/>
          <w:szCs w:val="24"/>
        </w:rPr>
        <w:t xml:space="preserve"> the TILA disclosure</w:t>
      </w:r>
      <w:r>
        <w:rPr>
          <w:sz w:val="24"/>
          <w:szCs w:val="24"/>
        </w:rPr>
        <w:t>;</w:t>
      </w:r>
      <w:r w:rsidRPr="00936F1B">
        <w:rPr>
          <w:sz w:val="24"/>
          <w:szCs w:val="24"/>
        </w:rPr>
        <w:t xml:space="preserve"> </w:t>
      </w:r>
      <w:r w:rsidRPr="001E1D0D">
        <w:rPr>
          <w:i/>
          <w:sz w:val="24"/>
          <w:szCs w:val="24"/>
        </w:rPr>
        <w:t>or</w:t>
      </w:r>
      <w:r w:rsidRPr="00936F1B">
        <w:rPr>
          <w:sz w:val="24"/>
          <w:szCs w:val="24"/>
        </w:rPr>
        <w:t xml:space="preserve"> the date the owner receive</w:t>
      </w:r>
      <w:r>
        <w:rPr>
          <w:sz w:val="24"/>
          <w:szCs w:val="24"/>
        </w:rPr>
        <w:t>d</w:t>
      </w:r>
      <w:r w:rsidRPr="00936F1B">
        <w:rPr>
          <w:sz w:val="24"/>
          <w:szCs w:val="24"/>
        </w:rPr>
        <w:t xml:space="preserve"> the Right to Rescission form.  </w:t>
      </w:r>
      <w:r>
        <w:rPr>
          <w:sz w:val="24"/>
          <w:szCs w:val="24"/>
        </w:rPr>
        <w:t>This</w:t>
      </w:r>
      <w:r w:rsidRPr="00936F1B">
        <w:rPr>
          <w:sz w:val="24"/>
          <w:szCs w:val="24"/>
        </w:rPr>
        <w:t xml:space="preserve"> way, the law makes sure that the owners have as much time as possible to </w:t>
      </w:r>
      <w:r>
        <w:rPr>
          <w:sz w:val="24"/>
          <w:szCs w:val="24"/>
        </w:rPr>
        <w:t xml:space="preserve">exert their right to </w:t>
      </w:r>
      <w:r w:rsidRPr="00936F1B">
        <w:rPr>
          <w:sz w:val="24"/>
          <w:szCs w:val="24"/>
        </w:rPr>
        <w:t xml:space="preserve">rescind.  </w:t>
      </w:r>
    </w:p>
    <w:p w:rsidR="00706949" w:rsidRPr="00936F1B" w:rsidRDefault="00706949" w:rsidP="00706949">
      <w:pPr>
        <w:pStyle w:val="ListParagraph"/>
        <w:autoSpaceDE w:val="0"/>
        <w:autoSpaceDN w:val="0"/>
        <w:adjustRightInd w:val="0"/>
        <w:ind w:left="1080" w:right="1170"/>
        <w:jc w:val="both"/>
        <w:rPr>
          <w:sz w:val="24"/>
          <w:szCs w:val="24"/>
        </w:rPr>
      </w:pPr>
    </w:p>
    <w:p w:rsidR="00706949" w:rsidRDefault="00706949" w:rsidP="00706949">
      <w:pPr>
        <w:pStyle w:val="ListParagraph"/>
        <w:autoSpaceDE w:val="0"/>
        <w:autoSpaceDN w:val="0"/>
        <w:adjustRightInd w:val="0"/>
        <w:ind w:left="1080" w:right="1170"/>
        <w:jc w:val="both"/>
        <w:rPr>
          <w:sz w:val="24"/>
          <w:szCs w:val="24"/>
        </w:rPr>
      </w:pPr>
      <w:r>
        <w:rPr>
          <w:sz w:val="24"/>
          <w:szCs w:val="24"/>
        </w:rPr>
        <w:lastRenderedPageBreak/>
        <w:t>Borrowers are still allowed to rescind within 3 business days after they are informed of their right to do so</w:t>
      </w:r>
      <w:r w:rsidRPr="00936F1B">
        <w:rPr>
          <w:sz w:val="24"/>
          <w:szCs w:val="24"/>
        </w:rPr>
        <w:t xml:space="preserve"> </w:t>
      </w:r>
      <w:r>
        <w:rPr>
          <w:sz w:val="24"/>
          <w:szCs w:val="24"/>
        </w:rPr>
        <w:t>even when mortgage loan originators delayed informing their customers of their right to rescind.</w:t>
      </w:r>
      <w:r w:rsidRPr="00936F1B">
        <w:rPr>
          <w:sz w:val="24"/>
          <w:szCs w:val="24"/>
        </w:rPr>
        <w:t xml:space="preserve"> For this reason, mortgage loan originators should always provide the borrowers with the TILA disclosure document and the Right to Rescission document before or during the settlement of the loan. </w:t>
      </w:r>
    </w:p>
    <w:p w:rsidR="00706949" w:rsidRPr="00936F1B" w:rsidRDefault="00706949" w:rsidP="00706949">
      <w:pPr>
        <w:pStyle w:val="ListParagraph"/>
        <w:autoSpaceDE w:val="0"/>
        <w:autoSpaceDN w:val="0"/>
        <w:adjustRightInd w:val="0"/>
        <w:ind w:left="1080" w:right="1170"/>
        <w:jc w:val="both"/>
        <w:rPr>
          <w:sz w:val="24"/>
          <w:szCs w:val="24"/>
        </w:rPr>
      </w:pPr>
    </w:p>
    <w:p w:rsidR="00706949" w:rsidRDefault="00706949" w:rsidP="00706949">
      <w:pPr>
        <w:pStyle w:val="ListParagraph"/>
        <w:autoSpaceDE w:val="0"/>
        <w:autoSpaceDN w:val="0"/>
        <w:adjustRightInd w:val="0"/>
        <w:ind w:left="1080" w:right="1170"/>
        <w:jc w:val="both"/>
        <w:rPr>
          <w:sz w:val="24"/>
          <w:szCs w:val="24"/>
        </w:rPr>
      </w:pPr>
      <w:r w:rsidRPr="00936F1B">
        <w:rPr>
          <w:sz w:val="24"/>
          <w:szCs w:val="24"/>
        </w:rPr>
        <w:t xml:space="preserve">Regarding this 3 business day cool-off period, remember that the right to rescind can extend to 3 years if there is any inaccurate information on the disclosure documents.  So, be sure to complete disclosures correctly and within the specific allowable tolerances. </w:t>
      </w:r>
    </w:p>
    <w:p w:rsidR="00706949" w:rsidRPr="00936F1B" w:rsidRDefault="00706949" w:rsidP="00706949">
      <w:pPr>
        <w:pStyle w:val="ListParagraph"/>
        <w:autoSpaceDE w:val="0"/>
        <w:autoSpaceDN w:val="0"/>
        <w:adjustRightInd w:val="0"/>
        <w:ind w:left="1080" w:right="1170"/>
        <w:jc w:val="both"/>
        <w:rPr>
          <w:sz w:val="24"/>
          <w:szCs w:val="24"/>
        </w:rPr>
      </w:pPr>
    </w:p>
    <w:p w:rsidR="00706949" w:rsidRDefault="00706949" w:rsidP="00706949">
      <w:pPr>
        <w:pStyle w:val="ListParagraph"/>
        <w:autoSpaceDE w:val="0"/>
        <w:autoSpaceDN w:val="0"/>
        <w:adjustRightInd w:val="0"/>
        <w:ind w:left="1080" w:right="1170"/>
        <w:jc w:val="both"/>
        <w:rPr>
          <w:sz w:val="24"/>
          <w:szCs w:val="24"/>
        </w:rPr>
      </w:pPr>
      <w:r w:rsidRPr="00936F1B">
        <w:rPr>
          <w:sz w:val="24"/>
          <w:szCs w:val="24"/>
        </w:rPr>
        <w:t xml:space="preserve">Then, as explained in the text above, once the lender receives the owner’s notice to rescind, the creditor needs to return the property and money to the borrower within 20 calendar days.  </w:t>
      </w:r>
    </w:p>
    <w:p w:rsidR="00706949" w:rsidRPr="00936F1B" w:rsidRDefault="00706949" w:rsidP="00706949">
      <w:pPr>
        <w:pStyle w:val="ListParagraph"/>
        <w:autoSpaceDE w:val="0"/>
        <w:autoSpaceDN w:val="0"/>
        <w:adjustRightInd w:val="0"/>
        <w:ind w:left="1080" w:right="1170"/>
        <w:jc w:val="both"/>
        <w:rPr>
          <w:sz w:val="24"/>
          <w:szCs w:val="24"/>
        </w:rPr>
      </w:pPr>
    </w:p>
    <w:p w:rsidR="00706949" w:rsidRDefault="00706949" w:rsidP="00706949">
      <w:pPr>
        <w:pStyle w:val="ListParagraph"/>
        <w:autoSpaceDE w:val="0"/>
        <w:autoSpaceDN w:val="0"/>
        <w:adjustRightInd w:val="0"/>
        <w:ind w:right="1170"/>
        <w:jc w:val="both"/>
        <w:rPr>
          <w:sz w:val="24"/>
          <w:szCs w:val="24"/>
        </w:rPr>
      </w:pPr>
      <w:r w:rsidRPr="00936F1B">
        <w:rPr>
          <w:sz w:val="24"/>
          <w:szCs w:val="24"/>
        </w:rPr>
        <w:t xml:space="preserve">Lastly, as required by law, the mortgage loan originator needs to provide the owners with instructions to rescind.  The mortgage loan originator reminds the owner that they need to sign and date the notice.  Here, the mortgage loan originator provides the creditor’s phone number and address where the owner is to send or deliver </w:t>
      </w:r>
      <w:r>
        <w:rPr>
          <w:sz w:val="24"/>
          <w:szCs w:val="24"/>
        </w:rPr>
        <w:t xml:space="preserve">the </w:t>
      </w:r>
      <w:r w:rsidRPr="00936F1B">
        <w:rPr>
          <w:sz w:val="24"/>
          <w:szCs w:val="24"/>
        </w:rPr>
        <w:t>notification.  The mortgage loan originator also clarifies the fact that the deadline to rescind is midnight of the 3</w:t>
      </w:r>
      <w:r w:rsidRPr="00105B5C">
        <w:rPr>
          <w:sz w:val="24"/>
          <w:szCs w:val="24"/>
          <w:vertAlign w:val="superscript"/>
        </w:rPr>
        <w:t>rd</w:t>
      </w:r>
      <w:r w:rsidRPr="00936F1B">
        <w:rPr>
          <w:sz w:val="24"/>
          <w:szCs w:val="24"/>
        </w:rPr>
        <w:t xml:space="preserve"> business day.  If the rescission notice is placed in the mail</w:t>
      </w:r>
      <w:r>
        <w:rPr>
          <w:sz w:val="24"/>
          <w:szCs w:val="24"/>
        </w:rPr>
        <w:t>,</w:t>
      </w:r>
      <w:r w:rsidRPr="00936F1B">
        <w:rPr>
          <w:sz w:val="24"/>
          <w:szCs w:val="24"/>
        </w:rPr>
        <w:t xml:space="preserve"> the postage stamped date is considered the delivery date.</w:t>
      </w:r>
    </w:p>
    <w:p w:rsidR="00706949" w:rsidRDefault="00706949" w:rsidP="00531B07">
      <w:pPr>
        <w:pStyle w:val="ListParagraph"/>
        <w:autoSpaceDE w:val="0"/>
        <w:autoSpaceDN w:val="0"/>
        <w:adjustRightInd w:val="0"/>
        <w:ind w:right="1170"/>
        <w:jc w:val="both"/>
        <w:rPr>
          <w:sz w:val="24"/>
          <w:szCs w:val="24"/>
        </w:rPr>
      </w:pPr>
    </w:p>
    <w:p w:rsidR="00706949" w:rsidRDefault="00706949" w:rsidP="00531B07">
      <w:pPr>
        <w:pStyle w:val="ListParagraph"/>
        <w:autoSpaceDE w:val="0"/>
        <w:autoSpaceDN w:val="0"/>
        <w:adjustRightInd w:val="0"/>
        <w:ind w:right="1170"/>
        <w:jc w:val="both"/>
        <w:rPr>
          <w:sz w:val="24"/>
          <w:szCs w:val="24"/>
        </w:rPr>
      </w:pPr>
    </w:p>
    <w:p w:rsidR="00706949" w:rsidRDefault="00706949" w:rsidP="00531B07">
      <w:pPr>
        <w:pStyle w:val="ListParagraph"/>
        <w:autoSpaceDE w:val="0"/>
        <w:autoSpaceDN w:val="0"/>
        <w:adjustRightInd w:val="0"/>
        <w:ind w:right="1170"/>
        <w:jc w:val="both"/>
        <w:rPr>
          <w:sz w:val="24"/>
          <w:szCs w:val="24"/>
        </w:rPr>
      </w:pPr>
    </w:p>
    <w:p w:rsidR="002055C5" w:rsidRDefault="00531B07" w:rsidP="00531B07">
      <w:pPr>
        <w:pStyle w:val="ListParagraph"/>
        <w:autoSpaceDE w:val="0"/>
        <w:autoSpaceDN w:val="0"/>
        <w:adjustRightInd w:val="0"/>
        <w:ind w:right="1170"/>
        <w:jc w:val="both"/>
        <w:rPr>
          <w:sz w:val="24"/>
          <w:szCs w:val="24"/>
        </w:rPr>
        <w:sectPr w:rsidR="002055C5" w:rsidSect="00491C63">
          <w:headerReference w:type="default" r:id="rId22"/>
          <w:pgSz w:w="12240" w:h="15840"/>
          <w:pgMar w:top="1440" w:right="720" w:bottom="1440" w:left="720" w:header="720" w:footer="720" w:gutter="0"/>
          <w:cols w:space="720"/>
          <w:docGrid w:linePitch="360"/>
        </w:sectPr>
      </w:pPr>
      <w:r w:rsidRPr="00531B07">
        <w:rPr>
          <w:sz w:val="24"/>
          <w:szCs w:val="24"/>
        </w:rPr>
        <w:t xml:space="preserve">  </w:t>
      </w:r>
    </w:p>
    <w:p w:rsidR="002055C5" w:rsidRDefault="002055C5" w:rsidP="00AF7B92">
      <w:pPr>
        <w:pStyle w:val="Heading1"/>
      </w:pPr>
      <w:bookmarkStart w:id="20" w:name="_Toc393811635"/>
      <w:r w:rsidRPr="002055C5">
        <w:lastRenderedPageBreak/>
        <w:t>The TILA Disclosure Statement</w:t>
      </w:r>
      <w:bookmarkEnd w:id="20"/>
    </w:p>
    <w:p w:rsidR="002055C5" w:rsidRDefault="002055C5" w:rsidP="005212C7">
      <w:pPr>
        <w:pStyle w:val="Heading2"/>
        <w:numPr>
          <w:ilvl w:val="0"/>
          <w:numId w:val="69"/>
        </w:numPr>
      </w:pPr>
      <w:bookmarkStart w:id="21" w:name="_Toc393811636"/>
      <w:r w:rsidRPr="002055C5">
        <w:t>Overview</w:t>
      </w:r>
      <w:bookmarkEnd w:id="21"/>
    </w:p>
    <w:p w:rsidR="002055C5" w:rsidRDefault="002055C5" w:rsidP="002055C5">
      <w:pPr>
        <w:pStyle w:val="ListParagraph"/>
        <w:autoSpaceDE w:val="0"/>
        <w:autoSpaceDN w:val="0"/>
        <w:adjustRightInd w:val="0"/>
        <w:ind w:left="1080" w:right="1170"/>
        <w:rPr>
          <w:rFonts w:ascii="Humnst777 Lt BT" w:hAnsi="Humnst777 Lt BT"/>
          <w:color w:val="365F91" w:themeColor="accent1" w:themeShade="BF"/>
          <w:sz w:val="36"/>
          <w:szCs w:val="36"/>
        </w:rPr>
      </w:pPr>
    </w:p>
    <w:p w:rsidR="002055C5" w:rsidRDefault="002055C5" w:rsidP="002055C5">
      <w:pPr>
        <w:pStyle w:val="ListParagraph"/>
        <w:autoSpaceDE w:val="0"/>
        <w:autoSpaceDN w:val="0"/>
        <w:adjustRightInd w:val="0"/>
        <w:ind w:left="1080" w:right="1170"/>
        <w:jc w:val="both"/>
        <w:rPr>
          <w:sz w:val="24"/>
          <w:szCs w:val="24"/>
        </w:rPr>
      </w:pPr>
      <w:r w:rsidRPr="002055C5">
        <w:rPr>
          <w:sz w:val="24"/>
          <w:szCs w:val="24"/>
        </w:rPr>
        <w:t xml:space="preserve">Now, let’s take a look at a sample TILA disclosure statement, which helps satisfy TILA initial disclosure requirements.  As we mentioned, this disclosure, together with the Good Faith Estimate, must be given to the borrower </w:t>
      </w:r>
      <w:r w:rsidRPr="002055C5">
        <w:rPr>
          <w:b/>
          <w:sz w:val="24"/>
          <w:szCs w:val="24"/>
        </w:rPr>
        <w:t>within 3 Business days</w:t>
      </w:r>
      <w:r w:rsidRPr="002055C5">
        <w:rPr>
          <w:sz w:val="24"/>
          <w:szCs w:val="24"/>
        </w:rPr>
        <w:t xml:space="preserve"> of the application.  This is a requirement added to TILA by virtue of the HOEPA Amendment (which we will discuss later in the course).</w:t>
      </w:r>
    </w:p>
    <w:p w:rsidR="002055C5" w:rsidRPr="002055C5" w:rsidRDefault="002055C5" w:rsidP="002055C5">
      <w:pPr>
        <w:pStyle w:val="ListParagraph"/>
        <w:autoSpaceDE w:val="0"/>
        <w:autoSpaceDN w:val="0"/>
        <w:adjustRightInd w:val="0"/>
        <w:ind w:left="1080" w:right="1170"/>
        <w:rPr>
          <w:sz w:val="24"/>
          <w:szCs w:val="24"/>
        </w:rPr>
      </w:pPr>
    </w:p>
    <w:p w:rsidR="002055C5" w:rsidRDefault="002055C5" w:rsidP="002055C5">
      <w:pPr>
        <w:pStyle w:val="ListParagraph"/>
        <w:autoSpaceDE w:val="0"/>
        <w:autoSpaceDN w:val="0"/>
        <w:adjustRightInd w:val="0"/>
        <w:ind w:left="1080" w:right="1170"/>
        <w:jc w:val="both"/>
        <w:rPr>
          <w:sz w:val="24"/>
          <w:szCs w:val="24"/>
        </w:rPr>
      </w:pPr>
      <w:r w:rsidRPr="002055C5">
        <w:rPr>
          <w:sz w:val="24"/>
          <w:szCs w:val="24"/>
        </w:rPr>
        <w:t>Most mortgage loan originators usually provide the TILA disclosures and GFEs when they receive the applicants’ applications.  Remember that even if the mortgage loan originator denies the loan application</w:t>
      </w:r>
      <w:r w:rsidR="005D0BC9">
        <w:rPr>
          <w:sz w:val="24"/>
          <w:szCs w:val="24"/>
        </w:rPr>
        <w:t xml:space="preserve"> later</w:t>
      </w:r>
      <w:r w:rsidRPr="002055C5">
        <w:rPr>
          <w:sz w:val="24"/>
          <w:szCs w:val="24"/>
        </w:rPr>
        <w:t xml:space="preserve"> than 3 business days </w:t>
      </w:r>
      <w:r w:rsidR="005D0BC9">
        <w:rPr>
          <w:sz w:val="24"/>
          <w:szCs w:val="24"/>
        </w:rPr>
        <w:t>following receipt of</w:t>
      </w:r>
      <w:r w:rsidRPr="002055C5">
        <w:rPr>
          <w:sz w:val="24"/>
          <w:szCs w:val="24"/>
        </w:rPr>
        <w:t xml:space="preserve"> the application, you will still have to submit the TILA disclosure, GFE, and any other required disclosures to the applicants </w:t>
      </w:r>
    </w:p>
    <w:p w:rsidR="00DD18FB" w:rsidRDefault="00DD18FB" w:rsidP="002055C5">
      <w:pPr>
        <w:pStyle w:val="ListParagraph"/>
        <w:autoSpaceDE w:val="0"/>
        <w:autoSpaceDN w:val="0"/>
        <w:adjustRightInd w:val="0"/>
        <w:ind w:left="1080" w:right="1170"/>
        <w:jc w:val="both"/>
        <w:rPr>
          <w:sz w:val="24"/>
          <w:szCs w:val="24"/>
        </w:rPr>
      </w:pPr>
    </w:p>
    <w:p w:rsidR="00DD18FB" w:rsidRDefault="00DD18FB" w:rsidP="002055C5">
      <w:pPr>
        <w:pStyle w:val="ListParagraph"/>
        <w:autoSpaceDE w:val="0"/>
        <w:autoSpaceDN w:val="0"/>
        <w:adjustRightInd w:val="0"/>
        <w:ind w:left="1080" w:right="1170"/>
        <w:jc w:val="both"/>
        <w:rPr>
          <w:sz w:val="24"/>
          <w:szCs w:val="24"/>
        </w:rPr>
      </w:pPr>
      <w:r>
        <w:rPr>
          <w:sz w:val="24"/>
          <w:szCs w:val="24"/>
        </w:rPr>
        <w:t>The CFPB is implementing a new combined T</w:t>
      </w:r>
      <w:r w:rsidR="0056276A">
        <w:rPr>
          <w:sz w:val="24"/>
          <w:szCs w:val="24"/>
        </w:rPr>
        <w:t xml:space="preserve">ruth </w:t>
      </w:r>
      <w:proofErr w:type="gramStart"/>
      <w:r>
        <w:rPr>
          <w:sz w:val="24"/>
          <w:szCs w:val="24"/>
        </w:rPr>
        <w:t>I</w:t>
      </w:r>
      <w:r w:rsidR="0056276A">
        <w:rPr>
          <w:sz w:val="24"/>
          <w:szCs w:val="24"/>
        </w:rPr>
        <w:t>n</w:t>
      </w:r>
      <w:proofErr w:type="gramEnd"/>
      <w:r w:rsidR="0056276A">
        <w:rPr>
          <w:sz w:val="24"/>
          <w:szCs w:val="24"/>
        </w:rPr>
        <w:t xml:space="preserve"> </w:t>
      </w:r>
      <w:r>
        <w:rPr>
          <w:sz w:val="24"/>
          <w:szCs w:val="24"/>
        </w:rPr>
        <w:t>L</w:t>
      </w:r>
      <w:r w:rsidR="0056276A">
        <w:rPr>
          <w:sz w:val="24"/>
          <w:szCs w:val="24"/>
        </w:rPr>
        <w:t>ending</w:t>
      </w:r>
      <w:r>
        <w:rPr>
          <w:sz w:val="24"/>
          <w:szCs w:val="24"/>
        </w:rPr>
        <w:t xml:space="preserve"> Statement and Good Faith Estimate.  This new form combines the information from both the GFE and </w:t>
      </w:r>
      <w:r w:rsidR="005D0BC9">
        <w:rPr>
          <w:sz w:val="24"/>
          <w:szCs w:val="24"/>
        </w:rPr>
        <w:t xml:space="preserve">the </w:t>
      </w:r>
      <w:r>
        <w:rPr>
          <w:sz w:val="24"/>
          <w:szCs w:val="24"/>
        </w:rPr>
        <w:t xml:space="preserve">TIL, is easier for consumers to understand and </w:t>
      </w:r>
      <w:r w:rsidR="00D659C4">
        <w:rPr>
          <w:sz w:val="24"/>
          <w:szCs w:val="24"/>
        </w:rPr>
        <w:t xml:space="preserve">is </w:t>
      </w:r>
      <w:r>
        <w:rPr>
          <w:sz w:val="24"/>
          <w:szCs w:val="24"/>
        </w:rPr>
        <w:t xml:space="preserve">more thorough for mortgage originators. </w:t>
      </w:r>
      <w:r w:rsidR="00954821">
        <w:rPr>
          <w:sz w:val="24"/>
          <w:szCs w:val="24"/>
        </w:rPr>
        <w:t xml:space="preserve"> </w:t>
      </w:r>
      <w:r w:rsidR="00D81442">
        <w:rPr>
          <w:sz w:val="24"/>
          <w:szCs w:val="24"/>
        </w:rPr>
        <w:t xml:space="preserve">The new combined disclosures are now called </w:t>
      </w:r>
      <w:r w:rsidR="001D57CC">
        <w:rPr>
          <w:sz w:val="24"/>
          <w:szCs w:val="24"/>
        </w:rPr>
        <w:t>‘</w:t>
      </w:r>
      <w:r w:rsidR="00D81442">
        <w:rPr>
          <w:sz w:val="24"/>
          <w:szCs w:val="24"/>
        </w:rPr>
        <w:t>Loan Estimate</w:t>
      </w:r>
      <w:r w:rsidR="001D57CC">
        <w:rPr>
          <w:sz w:val="24"/>
          <w:szCs w:val="24"/>
        </w:rPr>
        <w:t>s’</w:t>
      </w:r>
      <w:r w:rsidR="00D81442">
        <w:rPr>
          <w:sz w:val="24"/>
          <w:szCs w:val="24"/>
        </w:rPr>
        <w:t xml:space="preserve"> and are required to be used with applications taken starting August 15, 2015.  </w:t>
      </w:r>
      <w:r w:rsidR="00BD7C5D">
        <w:rPr>
          <w:sz w:val="24"/>
          <w:szCs w:val="24"/>
        </w:rPr>
        <w:t xml:space="preserve">The CFPB has published resource guides to help the industry to comply with the new rules.  You can find these guides on the CFPB website here </w:t>
      </w:r>
      <w:hyperlink r:id="rId23" w:history="1">
        <w:r w:rsidR="00BD7C5D" w:rsidRPr="00514A7A">
          <w:rPr>
            <w:rStyle w:val="Hyperlink"/>
            <w:sz w:val="24"/>
            <w:szCs w:val="24"/>
          </w:rPr>
          <w:t>http://www.consumerfinance.gov/regulatory-implementation/tila-respa/</w:t>
        </w:r>
      </w:hyperlink>
      <w:r w:rsidR="00BD7C5D">
        <w:rPr>
          <w:sz w:val="24"/>
          <w:szCs w:val="24"/>
        </w:rPr>
        <w:t xml:space="preserve">.  </w:t>
      </w:r>
    </w:p>
    <w:p w:rsidR="002055C5" w:rsidRPr="002055C5" w:rsidRDefault="002055C5" w:rsidP="002055C5">
      <w:pPr>
        <w:pStyle w:val="ListParagraph"/>
        <w:autoSpaceDE w:val="0"/>
        <w:autoSpaceDN w:val="0"/>
        <w:adjustRightInd w:val="0"/>
        <w:ind w:left="1080" w:right="1170"/>
        <w:rPr>
          <w:sz w:val="24"/>
          <w:szCs w:val="24"/>
        </w:rPr>
      </w:pPr>
    </w:p>
    <w:p w:rsidR="002055C5" w:rsidRDefault="002055C5" w:rsidP="002055C5">
      <w:pPr>
        <w:pStyle w:val="ListParagraph"/>
        <w:autoSpaceDE w:val="0"/>
        <w:autoSpaceDN w:val="0"/>
        <w:adjustRightInd w:val="0"/>
        <w:ind w:left="1080" w:right="1170"/>
        <w:jc w:val="both"/>
        <w:rPr>
          <w:sz w:val="24"/>
          <w:szCs w:val="24"/>
        </w:rPr>
      </w:pPr>
      <w:r w:rsidRPr="002055C5">
        <w:rPr>
          <w:sz w:val="24"/>
          <w:szCs w:val="24"/>
        </w:rPr>
        <w:t xml:space="preserve">The TILA disclosure is a critical document in the loan origination process.  Be as diligent as possible while filling out the TILA disclosure statement since material errors in disclosing loan terms to borrowers can potentially give borrowers rights, even years after closing, to rescind on the loan agreement (we will discuss the right to rescind later in this course).  </w:t>
      </w:r>
    </w:p>
    <w:p w:rsidR="002055C5" w:rsidRPr="002055C5" w:rsidRDefault="002055C5" w:rsidP="002055C5">
      <w:pPr>
        <w:pStyle w:val="ListParagraph"/>
        <w:autoSpaceDE w:val="0"/>
        <w:autoSpaceDN w:val="0"/>
        <w:adjustRightInd w:val="0"/>
        <w:ind w:left="1080" w:right="1170"/>
        <w:rPr>
          <w:sz w:val="24"/>
          <w:szCs w:val="24"/>
        </w:rPr>
      </w:pPr>
    </w:p>
    <w:p w:rsidR="002055C5" w:rsidRDefault="002055C5" w:rsidP="002055C5">
      <w:pPr>
        <w:pStyle w:val="ListParagraph"/>
        <w:autoSpaceDE w:val="0"/>
        <w:autoSpaceDN w:val="0"/>
        <w:adjustRightInd w:val="0"/>
        <w:ind w:left="1080" w:right="1170"/>
        <w:jc w:val="both"/>
        <w:rPr>
          <w:sz w:val="24"/>
          <w:szCs w:val="24"/>
        </w:rPr>
      </w:pPr>
      <w:r w:rsidRPr="002055C5">
        <w:rPr>
          <w:sz w:val="24"/>
          <w:szCs w:val="24"/>
        </w:rPr>
        <w:t xml:space="preserve">When </w:t>
      </w:r>
      <w:r w:rsidR="005D0BC9">
        <w:rPr>
          <w:sz w:val="24"/>
          <w:szCs w:val="24"/>
        </w:rPr>
        <w:t>house</w:t>
      </w:r>
      <w:r w:rsidR="005D0BC9" w:rsidRPr="002055C5">
        <w:rPr>
          <w:sz w:val="24"/>
          <w:szCs w:val="24"/>
        </w:rPr>
        <w:t xml:space="preserve"> </w:t>
      </w:r>
      <w:r w:rsidRPr="002055C5">
        <w:rPr>
          <w:sz w:val="24"/>
          <w:szCs w:val="24"/>
        </w:rPr>
        <w:t xml:space="preserve">prices are </w:t>
      </w:r>
      <w:r w:rsidR="005D0BC9">
        <w:rPr>
          <w:sz w:val="24"/>
          <w:szCs w:val="24"/>
        </w:rPr>
        <w:t>falling</w:t>
      </w:r>
      <w:r w:rsidRPr="002055C5">
        <w:rPr>
          <w:sz w:val="24"/>
          <w:szCs w:val="24"/>
        </w:rPr>
        <w:t xml:space="preserve">, borrowers are more likely than usual to want to get out of their loans.  In such a situation, discovery of material errors in these disclosure documents can result in borrowers rescinding and leaving lenders with the property.  Sometimes, MLOs </w:t>
      </w:r>
      <w:r w:rsidR="005D0BC9">
        <w:rPr>
          <w:sz w:val="24"/>
          <w:szCs w:val="24"/>
        </w:rPr>
        <w:t>can</w:t>
      </w:r>
      <w:r w:rsidR="005D0BC9" w:rsidRPr="002055C5">
        <w:rPr>
          <w:sz w:val="24"/>
          <w:szCs w:val="24"/>
        </w:rPr>
        <w:t xml:space="preserve"> </w:t>
      </w:r>
      <w:r w:rsidRPr="002055C5">
        <w:rPr>
          <w:sz w:val="24"/>
          <w:szCs w:val="24"/>
        </w:rPr>
        <w:t xml:space="preserve">even be </w:t>
      </w:r>
      <w:r w:rsidR="005D0BC9">
        <w:rPr>
          <w:sz w:val="24"/>
          <w:szCs w:val="24"/>
        </w:rPr>
        <w:t>made</w:t>
      </w:r>
      <w:r w:rsidR="005D0BC9" w:rsidRPr="002055C5">
        <w:rPr>
          <w:sz w:val="24"/>
          <w:szCs w:val="24"/>
        </w:rPr>
        <w:t xml:space="preserve"> </w:t>
      </w:r>
      <w:r w:rsidRPr="002055C5">
        <w:rPr>
          <w:sz w:val="24"/>
          <w:szCs w:val="24"/>
        </w:rPr>
        <w:t xml:space="preserve">to </w:t>
      </w:r>
      <w:r w:rsidR="005D0BC9">
        <w:rPr>
          <w:sz w:val="24"/>
          <w:szCs w:val="24"/>
        </w:rPr>
        <w:t>pay</w:t>
      </w:r>
      <w:r w:rsidR="005D0BC9" w:rsidRPr="002055C5">
        <w:rPr>
          <w:sz w:val="24"/>
          <w:szCs w:val="24"/>
        </w:rPr>
        <w:t xml:space="preserve"> </w:t>
      </w:r>
      <w:r w:rsidRPr="002055C5">
        <w:rPr>
          <w:sz w:val="24"/>
          <w:szCs w:val="24"/>
        </w:rPr>
        <w:t>statutory damages back to the borrowers, not to mention court fees and attorney’s fees.</w:t>
      </w:r>
    </w:p>
    <w:p w:rsidR="002055C5" w:rsidRDefault="002055C5">
      <w:pPr>
        <w:rPr>
          <w:sz w:val="24"/>
          <w:szCs w:val="24"/>
        </w:rPr>
      </w:pPr>
    </w:p>
    <w:p w:rsidR="002055C5" w:rsidRDefault="002055C5" w:rsidP="002055C5">
      <w:pPr>
        <w:pStyle w:val="ListParagraph"/>
        <w:autoSpaceDE w:val="0"/>
        <w:autoSpaceDN w:val="0"/>
        <w:adjustRightInd w:val="0"/>
        <w:ind w:left="1080" w:right="1170"/>
        <w:jc w:val="both"/>
        <w:rPr>
          <w:sz w:val="24"/>
          <w:szCs w:val="24"/>
        </w:rPr>
      </w:pPr>
      <w:r w:rsidRPr="002055C5">
        <w:rPr>
          <w:noProof/>
          <w:sz w:val="24"/>
          <w:szCs w:val="24"/>
        </w:rPr>
        <w:lastRenderedPageBreak/>
        <w:drawing>
          <wp:inline distT="0" distB="0" distL="0" distR="0">
            <wp:extent cx="6162675" cy="4908937"/>
            <wp:effectExtent l="19050" t="0" r="9525"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tretch>
                      <a:fillRect/>
                    </a:stretch>
                  </pic:blipFill>
                  <pic:spPr bwMode="auto">
                    <a:xfrm>
                      <a:off x="0" y="0"/>
                      <a:ext cx="6168711" cy="4913745"/>
                    </a:xfrm>
                    <a:prstGeom prst="rect">
                      <a:avLst/>
                    </a:prstGeom>
                    <a:noFill/>
                    <a:ln w="9525">
                      <a:noFill/>
                      <a:miter lim="800000"/>
                      <a:headEnd/>
                      <a:tailEnd/>
                    </a:ln>
                  </pic:spPr>
                </pic:pic>
              </a:graphicData>
            </a:graphic>
          </wp:inline>
        </w:drawing>
      </w:r>
    </w:p>
    <w:p w:rsidR="002055C5" w:rsidRDefault="002055C5" w:rsidP="002055C5">
      <w:pPr>
        <w:pStyle w:val="ListParagraph"/>
        <w:autoSpaceDE w:val="0"/>
        <w:autoSpaceDN w:val="0"/>
        <w:adjustRightInd w:val="0"/>
        <w:ind w:left="1080" w:right="1170"/>
        <w:jc w:val="both"/>
        <w:rPr>
          <w:sz w:val="24"/>
          <w:szCs w:val="24"/>
        </w:rPr>
      </w:pPr>
    </w:p>
    <w:p w:rsidR="002055C5" w:rsidRDefault="002055C5" w:rsidP="002055C5">
      <w:pPr>
        <w:pStyle w:val="ListParagraph"/>
        <w:autoSpaceDE w:val="0"/>
        <w:autoSpaceDN w:val="0"/>
        <w:adjustRightInd w:val="0"/>
        <w:ind w:left="1080" w:right="1170"/>
        <w:jc w:val="both"/>
        <w:rPr>
          <w:sz w:val="24"/>
          <w:szCs w:val="24"/>
        </w:rPr>
      </w:pPr>
    </w:p>
    <w:p w:rsidR="002055C5" w:rsidRDefault="002055C5" w:rsidP="002055C5">
      <w:pPr>
        <w:pStyle w:val="ListParagraph"/>
        <w:autoSpaceDE w:val="0"/>
        <w:autoSpaceDN w:val="0"/>
        <w:adjustRightInd w:val="0"/>
        <w:ind w:left="1080" w:right="1170"/>
        <w:jc w:val="both"/>
        <w:rPr>
          <w:sz w:val="24"/>
          <w:szCs w:val="24"/>
        </w:rPr>
      </w:pPr>
    </w:p>
    <w:p w:rsidR="002055C5" w:rsidRDefault="002055C5" w:rsidP="002055C5">
      <w:pPr>
        <w:pStyle w:val="ListParagraph"/>
        <w:autoSpaceDE w:val="0"/>
        <w:autoSpaceDN w:val="0"/>
        <w:adjustRightInd w:val="0"/>
        <w:ind w:left="1080" w:right="1170"/>
        <w:jc w:val="both"/>
        <w:rPr>
          <w:sz w:val="24"/>
          <w:szCs w:val="24"/>
        </w:rPr>
      </w:pPr>
      <w:r w:rsidRPr="002055C5">
        <w:rPr>
          <w:sz w:val="24"/>
          <w:szCs w:val="24"/>
        </w:rPr>
        <w:t>As we discussed above, the TILA document shows the APR for the borrower’s particular loan. It also shows the total finance charge, the total amount financed, and the total payments that would occur if the borrower kept the loan for 30 years.  This document also discloses late fees, recording fees, and any prepayment stipulations in the mortgage.  The goal is to help borrowers get a complete picture of all the costs and potential charges involved in getting mortgage loans, as well as to avoid a customer fixating on the note rates alone.</w:t>
      </w:r>
    </w:p>
    <w:p w:rsidR="002055C5" w:rsidRPr="002055C5" w:rsidRDefault="002055C5" w:rsidP="002055C5">
      <w:pPr>
        <w:pStyle w:val="ListParagraph"/>
        <w:autoSpaceDE w:val="0"/>
        <w:autoSpaceDN w:val="0"/>
        <w:adjustRightInd w:val="0"/>
        <w:ind w:left="1080" w:right="1170"/>
        <w:jc w:val="both"/>
        <w:rPr>
          <w:sz w:val="24"/>
          <w:szCs w:val="24"/>
        </w:rPr>
      </w:pPr>
    </w:p>
    <w:p w:rsidR="002055C5" w:rsidRDefault="002055C5" w:rsidP="002055C5">
      <w:pPr>
        <w:pStyle w:val="ListParagraph"/>
        <w:autoSpaceDE w:val="0"/>
        <w:autoSpaceDN w:val="0"/>
        <w:adjustRightInd w:val="0"/>
        <w:ind w:left="1080" w:right="1170"/>
        <w:jc w:val="both"/>
        <w:rPr>
          <w:sz w:val="24"/>
          <w:szCs w:val="24"/>
        </w:rPr>
      </w:pPr>
      <w:r w:rsidRPr="002055C5">
        <w:rPr>
          <w:sz w:val="24"/>
          <w:szCs w:val="24"/>
        </w:rPr>
        <w:t xml:space="preserve">While not a TILA requirement, </w:t>
      </w:r>
      <w:r w:rsidR="005D0BC9">
        <w:rPr>
          <w:sz w:val="24"/>
          <w:szCs w:val="24"/>
        </w:rPr>
        <w:t>be aware</w:t>
      </w:r>
      <w:r w:rsidR="005D0BC9" w:rsidRPr="002055C5">
        <w:rPr>
          <w:sz w:val="24"/>
          <w:szCs w:val="24"/>
        </w:rPr>
        <w:t xml:space="preserve"> </w:t>
      </w:r>
      <w:r w:rsidRPr="002055C5">
        <w:rPr>
          <w:sz w:val="24"/>
          <w:szCs w:val="24"/>
        </w:rPr>
        <w:t xml:space="preserve">that many TILA Disclosure Statements state that the document is neither a contract nor a commitment to lend.   It is important that clients understand that the TILA Disclosure Statement has limits to its accuracy.  Despite the fact that the MLO is required to disclose within a specific APR and Finance Charge tolerance to the closing costs, keep in mind </w:t>
      </w:r>
      <w:r w:rsidR="005D0BC9">
        <w:rPr>
          <w:sz w:val="24"/>
          <w:szCs w:val="24"/>
        </w:rPr>
        <w:t xml:space="preserve">that </w:t>
      </w:r>
      <w:r w:rsidRPr="002055C5">
        <w:rPr>
          <w:sz w:val="24"/>
          <w:szCs w:val="24"/>
        </w:rPr>
        <w:t xml:space="preserve">these are still estimates and </w:t>
      </w:r>
      <w:r w:rsidR="005D0BC9">
        <w:rPr>
          <w:sz w:val="24"/>
          <w:szCs w:val="24"/>
        </w:rPr>
        <w:t xml:space="preserve">that </w:t>
      </w:r>
      <w:r w:rsidRPr="002055C5">
        <w:rPr>
          <w:sz w:val="24"/>
          <w:szCs w:val="24"/>
        </w:rPr>
        <w:t xml:space="preserve">the final numbers associated with the mortgage transaction may still change </w:t>
      </w:r>
      <w:r w:rsidRPr="002055C5">
        <w:rPr>
          <w:sz w:val="24"/>
          <w:szCs w:val="24"/>
        </w:rPr>
        <w:lastRenderedPageBreak/>
        <w:t>within this tolerance until the final TILA Disclosure Statement is provided at least three business days before settlement. (</w:t>
      </w:r>
      <w:r w:rsidR="00F623A5">
        <w:rPr>
          <w:sz w:val="24"/>
          <w:szCs w:val="24"/>
        </w:rPr>
        <w:t>1026</w:t>
      </w:r>
      <w:r w:rsidRPr="002055C5">
        <w:rPr>
          <w:sz w:val="24"/>
          <w:szCs w:val="24"/>
        </w:rPr>
        <w:t>.18)</w:t>
      </w:r>
      <w:r w:rsidR="00616220">
        <w:rPr>
          <w:sz w:val="24"/>
          <w:szCs w:val="24"/>
        </w:rPr>
        <w:t>(</w:t>
      </w:r>
      <w:r w:rsidRPr="002055C5">
        <w:rPr>
          <w:sz w:val="24"/>
          <w:szCs w:val="24"/>
        </w:rPr>
        <w:t>d)</w:t>
      </w:r>
      <w:proofErr w:type="gramStart"/>
      <w:r w:rsidRPr="002055C5">
        <w:rPr>
          <w:sz w:val="24"/>
          <w:szCs w:val="24"/>
        </w:rPr>
        <w:t xml:space="preserve">(1) or </w:t>
      </w:r>
      <w:r w:rsidR="00F623A5">
        <w:rPr>
          <w:sz w:val="24"/>
          <w:szCs w:val="24"/>
        </w:rPr>
        <w:t>1026</w:t>
      </w:r>
      <w:r w:rsidRPr="002055C5">
        <w:rPr>
          <w:sz w:val="24"/>
          <w:szCs w:val="24"/>
        </w:rPr>
        <w:t>.23(g)).</w:t>
      </w:r>
      <w:proofErr w:type="gramEnd"/>
      <w:r w:rsidRPr="002055C5">
        <w:rPr>
          <w:sz w:val="24"/>
          <w:szCs w:val="24"/>
        </w:rPr>
        <w:t xml:space="preserve"> </w:t>
      </w:r>
    </w:p>
    <w:p w:rsidR="002055C5" w:rsidRPr="002055C5" w:rsidRDefault="002055C5" w:rsidP="002055C5">
      <w:pPr>
        <w:pStyle w:val="ListParagraph"/>
        <w:autoSpaceDE w:val="0"/>
        <w:autoSpaceDN w:val="0"/>
        <w:adjustRightInd w:val="0"/>
        <w:ind w:left="1080" w:right="1170"/>
        <w:jc w:val="both"/>
        <w:rPr>
          <w:sz w:val="24"/>
          <w:szCs w:val="24"/>
        </w:rPr>
      </w:pPr>
    </w:p>
    <w:p w:rsidR="002055C5" w:rsidRDefault="002055C5" w:rsidP="002055C5">
      <w:pPr>
        <w:pStyle w:val="ListParagraph"/>
        <w:autoSpaceDE w:val="0"/>
        <w:autoSpaceDN w:val="0"/>
        <w:adjustRightInd w:val="0"/>
        <w:ind w:left="1080" w:right="1170"/>
        <w:jc w:val="both"/>
        <w:rPr>
          <w:sz w:val="24"/>
          <w:szCs w:val="24"/>
        </w:rPr>
      </w:pPr>
      <w:r w:rsidRPr="002055C5">
        <w:rPr>
          <w:sz w:val="24"/>
          <w:szCs w:val="24"/>
        </w:rPr>
        <w:t>The TILA disclosure also includes basic information such as the applicant's name, the property address used for collateral or the appropriate mailing address, the application number, who it is prepared by and the date it was prepared. The date is very important because, as mentioned, the TILA disclosure must be disclosed within three business days of the application date (</w:t>
      </w:r>
      <w:r w:rsidR="00F623A5">
        <w:rPr>
          <w:sz w:val="24"/>
          <w:szCs w:val="24"/>
        </w:rPr>
        <w:t>1026</w:t>
      </w:r>
      <w:r w:rsidRPr="002055C5">
        <w:rPr>
          <w:sz w:val="24"/>
          <w:szCs w:val="24"/>
        </w:rPr>
        <w:t>.17(b)).</w:t>
      </w:r>
    </w:p>
    <w:p w:rsidR="002055C5" w:rsidRPr="002055C5" w:rsidRDefault="002055C5" w:rsidP="002055C5">
      <w:pPr>
        <w:pStyle w:val="ListParagraph"/>
        <w:autoSpaceDE w:val="0"/>
        <w:autoSpaceDN w:val="0"/>
        <w:adjustRightInd w:val="0"/>
        <w:ind w:left="1080" w:right="1170"/>
        <w:rPr>
          <w:rFonts w:ascii="Humnst777 Lt BT" w:hAnsi="Humnst777 Lt BT"/>
          <w:color w:val="365F91" w:themeColor="accent1" w:themeShade="BF"/>
          <w:sz w:val="36"/>
          <w:szCs w:val="36"/>
        </w:rPr>
      </w:pPr>
    </w:p>
    <w:p w:rsidR="000E2F42" w:rsidRPr="00E7077B" w:rsidRDefault="000E2F42" w:rsidP="00AF7B92">
      <w:pPr>
        <w:pStyle w:val="Heading2"/>
      </w:pPr>
      <w:bookmarkStart w:id="22" w:name="_Toc393811637"/>
      <w:r w:rsidRPr="00E7077B">
        <w:t xml:space="preserve">Requirements of Periodic Statements (Part </w:t>
      </w:r>
      <w:r w:rsidR="00F623A5">
        <w:t>1026</w:t>
      </w:r>
      <w:r w:rsidRPr="00E7077B">
        <w:t>.7)</w:t>
      </w:r>
      <w:bookmarkEnd w:id="22"/>
    </w:p>
    <w:p w:rsidR="000E2F42" w:rsidRPr="000E2F42" w:rsidRDefault="000E2F42" w:rsidP="000E2F42">
      <w:pPr>
        <w:pStyle w:val="ListParagraph"/>
        <w:autoSpaceDE w:val="0"/>
        <w:autoSpaceDN w:val="0"/>
        <w:adjustRightInd w:val="0"/>
        <w:ind w:left="1080" w:right="1170"/>
        <w:jc w:val="both"/>
        <w:rPr>
          <w:sz w:val="24"/>
          <w:szCs w:val="24"/>
        </w:rPr>
      </w:pPr>
      <w:r w:rsidRPr="000E2F42">
        <w:rPr>
          <w:sz w:val="24"/>
          <w:szCs w:val="24"/>
        </w:rPr>
        <w:t xml:space="preserve">Periodic statements based on the mortgage billing cycle need to be delivered to the consumer and specific details about the mortgage need to be in the statement, such as </w:t>
      </w:r>
      <w:r w:rsidR="00982694">
        <w:rPr>
          <w:sz w:val="24"/>
          <w:szCs w:val="24"/>
        </w:rPr>
        <w:t xml:space="preserve">the </w:t>
      </w:r>
      <w:r w:rsidRPr="000E2F42">
        <w:rPr>
          <w:sz w:val="24"/>
          <w:szCs w:val="24"/>
        </w:rPr>
        <w:t xml:space="preserve">finance charges, the APR, the closing date of the billing cycle and the balance on which interest is calculated (see subpart B </w:t>
      </w:r>
      <w:r w:rsidR="00F623A5">
        <w:rPr>
          <w:sz w:val="24"/>
          <w:szCs w:val="24"/>
        </w:rPr>
        <w:t>1026</w:t>
      </w:r>
      <w:r w:rsidRPr="000E2F42">
        <w:rPr>
          <w:sz w:val="24"/>
          <w:szCs w:val="24"/>
        </w:rPr>
        <w:t>.7 for more information for open-end credit).</w:t>
      </w:r>
    </w:p>
    <w:p w:rsidR="00304C0B" w:rsidRDefault="00304C0B" w:rsidP="000E2F42">
      <w:pPr>
        <w:pStyle w:val="ListParagraph"/>
        <w:autoSpaceDE w:val="0"/>
        <w:autoSpaceDN w:val="0"/>
        <w:adjustRightInd w:val="0"/>
        <w:ind w:left="1080" w:right="1170"/>
        <w:jc w:val="both"/>
        <w:rPr>
          <w:sz w:val="24"/>
          <w:szCs w:val="24"/>
        </w:rPr>
        <w:sectPr w:rsidR="00304C0B" w:rsidSect="00491C63">
          <w:headerReference w:type="default" r:id="rId25"/>
          <w:pgSz w:w="12240" w:h="15840"/>
          <w:pgMar w:top="1440" w:right="720" w:bottom="1440" w:left="720" w:header="720" w:footer="720" w:gutter="0"/>
          <w:cols w:space="720"/>
          <w:docGrid w:linePitch="360"/>
        </w:sectPr>
      </w:pPr>
    </w:p>
    <w:p w:rsidR="00953F41" w:rsidRDefault="00953F41" w:rsidP="00953F41">
      <w:pPr>
        <w:pStyle w:val="Heading1"/>
        <w:numPr>
          <w:ilvl w:val="0"/>
          <w:numId w:val="0"/>
        </w:numPr>
        <w:ind w:left="1080"/>
      </w:pPr>
      <w:bookmarkStart w:id="23" w:name="_Toc393811638"/>
      <w:r w:rsidRPr="00953F41">
        <w:rPr>
          <w:noProof/>
        </w:rPr>
        <w:lastRenderedPageBreak/>
        <w:drawing>
          <wp:anchor distT="0" distB="0" distL="114300" distR="114300" simplePos="0" relativeHeight="251658240" behindDoc="0" locked="0" layoutInCell="1" allowOverlap="1">
            <wp:simplePos x="0" y="0"/>
            <wp:positionH relativeFrom="column">
              <wp:posOffset>453390</wp:posOffset>
            </wp:positionH>
            <wp:positionV relativeFrom="paragraph">
              <wp:posOffset>-28575</wp:posOffset>
            </wp:positionV>
            <wp:extent cx="5947410" cy="7978140"/>
            <wp:effectExtent l="19050" t="0" r="0" b="0"/>
            <wp:wrapNone/>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5947410" cy="7978140"/>
                    </a:xfrm>
                    <a:prstGeom prst="rect">
                      <a:avLst/>
                    </a:prstGeom>
                    <a:noFill/>
                    <a:ln w="9525">
                      <a:noFill/>
                      <a:miter lim="800000"/>
                      <a:headEnd/>
                      <a:tailEnd/>
                    </a:ln>
                  </pic:spPr>
                </pic:pic>
              </a:graphicData>
            </a:graphic>
          </wp:anchor>
        </w:drawing>
      </w:r>
    </w:p>
    <w:p w:rsidR="00953F41" w:rsidRDefault="00953F41" w:rsidP="00953F41">
      <w:pPr>
        <w:pStyle w:val="Heading1"/>
        <w:numPr>
          <w:ilvl w:val="0"/>
          <w:numId w:val="0"/>
        </w:numPr>
        <w:ind w:left="1080"/>
      </w:pPr>
    </w:p>
    <w:p w:rsidR="00953F41" w:rsidRDefault="00953F41" w:rsidP="00953F41">
      <w:pPr>
        <w:pStyle w:val="Heading1"/>
        <w:numPr>
          <w:ilvl w:val="0"/>
          <w:numId w:val="0"/>
        </w:numPr>
        <w:ind w:left="1080"/>
      </w:pPr>
    </w:p>
    <w:p w:rsidR="00953F41" w:rsidRDefault="00953F41" w:rsidP="00953F41">
      <w:pPr>
        <w:pStyle w:val="Heading1"/>
        <w:numPr>
          <w:ilvl w:val="0"/>
          <w:numId w:val="0"/>
        </w:numPr>
        <w:ind w:left="1080"/>
      </w:pPr>
    </w:p>
    <w:p w:rsidR="00953F41" w:rsidRDefault="00953F41" w:rsidP="00953F41">
      <w:pPr>
        <w:pStyle w:val="Heading1"/>
        <w:numPr>
          <w:ilvl w:val="0"/>
          <w:numId w:val="0"/>
        </w:numPr>
        <w:ind w:left="1080"/>
      </w:pPr>
    </w:p>
    <w:p w:rsidR="00953F41" w:rsidRDefault="00953F41" w:rsidP="00953F41">
      <w:pPr>
        <w:pStyle w:val="Heading1"/>
        <w:numPr>
          <w:ilvl w:val="0"/>
          <w:numId w:val="0"/>
        </w:numPr>
        <w:ind w:left="1080"/>
      </w:pPr>
    </w:p>
    <w:p w:rsidR="00953F41" w:rsidRDefault="00953F41" w:rsidP="00953F41">
      <w:pPr>
        <w:pStyle w:val="Heading1"/>
        <w:numPr>
          <w:ilvl w:val="0"/>
          <w:numId w:val="0"/>
        </w:numPr>
        <w:ind w:left="1080"/>
      </w:pPr>
    </w:p>
    <w:p w:rsidR="00953F41" w:rsidRDefault="00953F41" w:rsidP="00953F41">
      <w:pPr>
        <w:pStyle w:val="Heading1"/>
        <w:numPr>
          <w:ilvl w:val="0"/>
          <w:numId w:val="0"/>
        </w:numPr>
        <w:ind w:left="1080"/>
      </w:pPr>
    </w:p>
    <w:p w:rsidR="00953F41" w:rsidRDefault="00953F41" w:rsidP="00953F41">
      <w:pPr>
        <w:pStyle w:val="Heading1"/>
        <w:numPr>
          <w:ilvl w:val="0"/>
          <w:numId w:val="0"/>
        </w:numPr>
        <w:ind w:left="1080"/>
      </w:pPr>
    </w:p>
    <w:p w:rsidR="00953F41" w:rsidRDefault="00953F41" w:rsidP="00953F41">
      <w:pPr>
        <w:pStyle w:val="Heading1"/>
        <w:numPr>
          <w:ilvl w:val="0"/>
          <w:numId w:val="0"/>
        </w:numPr>
        <w:ind w:left="1080"/>
      </w:pPr>
    </w:p>
    <w:p w:rsidR="00953F41" w:rsidRDefault="00953F41" w:rsidP="00953F41">
      <w:pPr>
        <w:pStyle w:val="Heading1"/>
        <w:numPr>
          <w:ilvl w:val="0"/>
          <w:numId w:val="0"/>
        </w:numPr>
        <w:ind w:left="1080"/>
      </w:pPr>
      <w:r w:rsidRPr="00953F41">
        <w:rPr>
          <w:noProof/>
        </w:rPr>
        <w:lastRenderedPageBreak/>
        <w:drawing>
          <wp:inline distT="0" distB="0" distL="0" distR="0">
            <wp:extent cx="5943600" cy="8083853"/>
            <wp:effectExtent l="19050" t="0" r="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5943600" cy="8083853"/>
                    </a:xfrm>
                    <a:prstGeom prst="rect">
                      <a:avLst/>
                    </a:prstGeom>
                    <a:noFill/>
                    <a:ln w="9525">
                      <a:noFill/>
                      <a:miter lim="800000"/>
                      <a:headEnd/>
                      <a:tailEnd/>
                    </a:ln>
                  </pic:spPr>
                </pic:pic>
              </a:graphicData>
            </a:graphic>
          </wp:inline>
        </w:drawing>
      </w:r>
    </w:p>
    <w:p w:rsidR="00953F41" w:rsidRDefault="00953F41" w:rsidP="00953F41">
      <w:pPr>
        <w:pStyle w:val="Heading1"/>
        <w:numPr>
          <w:ilvl w:val="0"/>
          <w:numId w:val="0"/>
        </w:numPr>
        <w:ind w:left="1080"/>
      </w:pPr>
      <w:r w:rsidRPr="00953F41">
        <w:rPr>
          <w:noProof/>
        </w:rPr>
        <w:lastRenderedPageBreak/>
        <w:drawing>
          <wp:inline distT="0" distB="0" distL="0" distR="0">
            <wp:extent cx="5943600" cy="8074839"/>
            <wp:effectExtent l="19050" t="0" r="0" b="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5943600" cy="8074839"/>
                    </a:xfrm>
                    <a:prstGeom prst="rect">
                      <a:avLst/>
                    </a:prstGeom>
                    <a:noFill/>
                    <a:ln w="9525">
                      <a:noFill/>
                      <a:miter lim="800000"/>
                      <a:headEnd/>
                      <a:tailEnd/>
                    </a:ln>
                  </pic:spPr>
                </pic:pic>
              </a:graphicData>
            </a:graphic>
          </wp:inline>
        </w:drawing>
      </w:r>
    </w:p>
    <w:p w:rsidR="00CF33DE" w:rsidRPr="00AF7B92" w:rsidRDefault="00CF33DE" w:rsidP="00AF7B92">
      <w:pPr>
        <w:pStyle w:val="Heading1"/>
      </w:pPr>
      <w:r w:rsidRPr="00CF33DE">
        <w:lastRenderedPageBreak/>
        <w:t xml:space="preserve">Advertising Regulation (Subpart B </w:t>
      </w:r>
      <w:r w:rsidR="00F623A5">
        <w:t>1026</w:t>
      </w:r>
      <w:r w:rsidRPr="00CF33DE">
        <w:t xml:space="preserve">.16 and Subpart C </w:t>
      </w:r>
      <w:r w:rsidR="00F623A5">
        <w:t>1026</w:t>
      </w:r>
      <w:r w:rsidRPr="00CF33DE">
        <w:t>.24 for Open</w:t>
      </w:r>
      <w:r w:rsidR="00650ABB">
        <w:t>-</w:t>
      </w:r>
      <w:r w:rsidRPr="00CF33DE">
        <w:t xml:space="preserve"> and </w:t>
      </w:r>
      <w:r w:rsidR="00650ABB" w:rsidRPr="00CF33DE">
        <w:t>Closed</w:t>
      </w:r>
      <w:r w:rsidR="00650ABB">
        <w:t>-</w:t>
      </w:r>
      <w:r w:rsidRPr="00CF33DE">
        <w:t>End Credit)</w:t>
      </w:r>
      <w:bookmarkEnd w:id="23"/>
    </w:p>
    <w:p w:rsidR="00CF33DE" w:rsidRDefault="00CF33DE" w:rsidP="00CF33DE">
      <w:pPr>
        <w:autoSpaceDE w:val="0"/>
        <w:autoSpaceDN w:val="0"/>
        <w:adjustRightInd w:val="0"/>
        <w:ind w:left="1080" w:right="1170"/>
        <w:jc w:val="both"/>
        <w:rPr>
          <w:sz w:val="24"/>
          <w:szCs w:val="24"/>
        </w:rPr>
      </w:pPr>
      <w:r w:rsidRPr="00CF33DE">
        <w:rPr>
          <w:sz w:val="24"/>
          <w:szCs w:val="24"/>
        </w:rPr>
        <w:t xml:space="preserve">There are specific requirements on advertisements by mortgage loan originators.  Many of them are significantly expanded by the 2008 HOEPA amendment.  </w:t>
      </w:r>
    </w:p>
    <w:p w:rsidR="00CF33DE" w:rsidRDefault="00CF33DE" w:rsidP="00CF33DE">
      <w:pPr>
        <w:autoSpaceDE w:val="0"/>
        <w:autoSpaceDN w:val="0"/>
        <w:adjustRightInd w:val="0"/>
        <w:ind w:left="1080" w:right="1170"/>
        <w:jc w:val="both"/>
        <w:rPr>
          <w:sz w:val="24"/>
          <w:szCs w:val="24"/>
        </w:rPr>
      </w:pPr>
    </w:p>
    <w:p w:rsidR="00CF33DE" w:rsidRDefault="00CF33DE" w:rsidP="005212C7">
      <w:pPr>
        <w:pStyle w:val="Heading2"/>
        <w:numPr>
          <w:ilvl w:val="0"/>
          <w:numId w:val="68"/>
        </w:numPr>
      </w:pPr>
      <w:bookmarkStart w:id="24" w:name="_Toc393811639"/>
      <w:r w:rsidRPr="00CF33DE">
        <w:t>Full Disclosure of Mortgage Terms</w:t>
      </w:r>
      <w:bookmarkEnd w:id="24"/>
    </w:p>
    <w:p w:rsidR="000719DA" w:rsidRDefault="000719DA" w:rsidP="000719DA">
      <w:pPr>
        <w:pStyle w:val="ListParagraph"/>
        <w:autoSpaceDE w:val="0"/>
        <w:autoSpaceDN w:val="0"/>
        <w:adjustRightInd w:val="0"/>
        <w:ind w:left="1080" w:right="1170"/>
        <w:rPr>
          <w:rFonts w:ascii="Humnst777 Lt BT" w:hAnsi="Humnst777 Lt BT"/>
          <w:color w:val="365F91" w:themeColor="accent1" w:themeShade="BF"/>
          <w:sz w:val="36"/>
          <w:szCs w:val="36"/>
        </w:rPr>
      </w:pPr>
    </w:p>
    <w:p w:rsidR="000719DA" w:rsidRDefault="000719DA" w:rsidP="000719DA">
      <w:pPr>
        <w:autoSpaceDE w:val="0"/>
        <w:autoSpaceDN w:val="0"/>
        <w:adjustRightInd w:val="0"/>
        <w:ind w:left="1080" w:right="1170"/>
        <w:jc w:val="both"/>
        <w:rPr>
          <w:sz w:val="24"/>
          <w:szCs w:val="24"/>
        </w:rPr>
      </w:pPr>
      <w:r w:rsidRPr="000719DA">
        <w:rPr>
          <w:sz w:val="24"/>
          <w:szCs w:val="24"/>
        </w:rPr>
        <w:t xml:space="preserve">TILA aims to prevent </w:t>
      </w:r>
      <w:r w:rsidR="00982694">
        <w:rPr>
          <w:sz w:val="24"/>
          <w:szCs w:val="24"/>
        </w:rPr>
        <w:t xml:space="preserve">the use of </w:t>
      </w:r>
      <w:r w:rsidRPr="000719DA">
        <w:rPr>
          <w:sz w:val="24"/>
          <w:szCs w:val="24"/>
        </w:rPr>
        <w:t xml:space="preserve">advertisements that only give a partial or rosy picture of a loan, which is </w:t>
      </w:r>
      <w:r w:rsidR="00480AD4">
        <w:rPr>
          <w:sz w:val="24"/>
          <w:szCs w:val="24"/>
        </w:rPr>
        <w:t>a</w:t>
      </w:r>
      <w:r w:rsidR="00480AD4" w:rsidRPr="000719DA">
        <w:rPr>
          <w:sz w:val="24"/>
          <w:szCs w:val="24"/>
        </w:rPr>
        <w:t xml:space="preserve"> </w:t>
      </w:r>
      <w:r w:rsidRPr="000719DA">
        <w:rPr>
          <w:sz w:val="24"/>
          <w:szCs w:val="24"/>
        </w:rPr>
        <w:t xml:space="preserve">common tactic in predatory lending.  The law states that if an advertisement mentions the amount of down payment, the monthly payment, the number of payment periods or the finance charge, then it must also disclose the down payment percentage, </w:t>
      </w:r>
      <w:r w:rsidR="00982694">
        <w:rPr>
          <w:sz w:val="24"/>
          <w:szCs w:val="24"/>
        </w:rPr>
        <w:t xml:space="preserve">the </w:t>
      </w:r>
      <w:r w:rsidRPr="000719DA">
        <w:rPr>
          <w:sz w:val="24"/>
          <w:szCs w:val="24"/>
        </w:rPr>
        <w:t xml:space="preserve">terms of repayment, </w:t>
      </w:r>
      <w:r w:rsidR="00982694">
        <w:rPr>
          <w:sz w:val="24"/>
          <w:szCs w:val="24"/>
        </w:rPr>
        <w:t xml:space="preserve">the </w:t>
      </w:r>
      <w:r w:rsidRPr="000719DA">
        <w:rPr>
          <w:sz w:val="24"/>
          <w:szCs w:val="24"/>
        </w:rPr>
        <w:t xml:space="preserve">APR and </w:t>
      </w:r>
      <w:r w:rsidR="00982694">
        <w:rPr>
          <w:sz w:val="24"/>
          <w:szCs w:val="24"/>
        </w:rPr>
        <w:t xml:space="preserve">the </w:t>
      </w:r>
      <w:r w:rsidRPr="000719DA">
        <w:rPr>
          <w:sz w:val="24"/>
          <w:szCs w:val="24"/>
        </w:rPr>
        <w:t xml:space="preserve">risk of rate increases.  If the loan is an </w:t>
      </w:r>
      <w:r w:rsidR="00982694">
        <w:rPr>
          <w:sz w:val="24"/>
          <w:szCs w:val="24"/>
        </w:rPr>
        <w:t>adjustable-</w:t>
      </w:r>
      <w:r w:rsidRPr="000719DA">
        <w:rPr>
          <w:sz w:val="24"/>
          <w:szCs w:val="24"/>
        </w:rPr>
        <w:t xml:space="preserve">rate or buydown mortgage, the advertisement must also disclose that certain rates could increase during the lifetime of the mortgage.   </w:t>
      </w:r>
    </w:p>
    <w:p w:rsidR="000719DA" w:rsidRPr="000719DA" w:rsidRDefault="000719DA" w:rsidP="000719DA">
      <w:pPr>
        <w:autoSpaceDE w:val="0"/>
        <w:autoSpaceDN w:val="0"/>
        <w:adjustRightInd w:val="0"/>
        <w:ind w:left="1080" w:right="1170"/>
        <w:jc w:val="both"/>
        <w:rPr>
          <w:sz w:val="24"/>
          <w:szCs w:val="24"/>
        </w:rPr>
      </w:pPr>
    </w:p>
    <w:p w:rsidR="000719DA" w:rsidRDefault="000719DA" w:rsidP="000719DA">
      <w:pPr>
        <w:autoSpaceDE w:val="0"/>
        <w:autoSpaceDN w:val="0"/>
        <w:adjustRightInd w:val="0"/>
        <w:ind w:left="1080" w:right="1170"/>
        <w:jc w:val="both"/>
        <w:rPr>
          <w:sz w:val="24"/>
          <w:szCs w:val="24"/>
        </w:rPr>
      </w:pPr>
      <w:r w:rsidRPr="000719DA">
        <w:rPr>
          <w:sz w:val="24"/>
          <w:szCs w:val="24"/>
        </w:rPr>
        <w:t xml:space="preserve">The law specifically states that all of these relevant mortgage terms should be disclosed with equal prominence.  This rule is designed to </w:t>
      </w:r>
      <w:r w:rsidR="00982694">
        <w:rPr>
          <w:sz w:val="24"/>
          <w:szCs w:val="24"/>
        </w:rPr>
        <w:t>reduce the</w:t>
      </w:r>
      <w:r w:rsidR="00982694" w:rsidRPr="000719DA">
        <w:rPr>
          <w:sz w:val="24"/>
          <w:szCs w:val="24"/>
        </w:rPr>
        <w:t xml:space="preserve"> </w:t>
      </w:r>
      <w:r w:rsidRPr="000719DA">
        <w:rPr>
          <w:sz w:val="24"/>
          <w:szCs w:val="24"/>
        </w:rPr>
        <w:t xml:space="preserve">chances </w:t>
      </w:r>
      <w:r w:rsidR="00982694">
        <w:rPr>
          <w:sz w:val="24"/>
          <w:szCs w:val="24"/>
        </w:rPr>
        <w:t>of</w:t>
      </w:r>
      <w:r w:rsidR="00982694" w:rsidRPr="000719DA">
        <w:rPr>
          <w:sz w:val="24"/>
          <w:szCs w:val="24"/>
        </w:rPr>
        <w:t xml:space="preserve"> </w:t>
      </w:r>
      <w:r w:rsidRPr="000719DA">
        <w:rPr>
          <w:sz w:val="24"/>
          <w:szCs w:val="24"/>
        </w:rPr>
        <w:t xml:space="preserve">consumers </w:t>
      </w:r>
      <w:r w:rsidR="00982694">
        <w:rPr>
          <w:sz w:val="24"/>
          <w:szCs w:val="24"/>
        </w:rPr>
        <w:t>being</w:t>
      </w:r>
      <w:r w:rsidRPr="000719DA">
        <w:rPr>
          <w:sz w:val="24"/>
          <w:szCs w:val="24"/>
        </w:rPr>
        <w:t xml:space="preserve"> misled by overly focusing on the beneficial business terms and ignoring the risky terms.</w:t>
      </w:r>
    </w:p>
    <w:p w:rsidR="000719DA" w:rsidRDefault="000719DA" w:rsidP="000719DA">
      <w:pPr>
        <w:autoSpaceDE w:val="0"/>
        <w:autoSpaceDN w:val="0"/>
        <w:adjustRightInd w:val="0"/>
        <w:ind w:left="1080" w:right="1170"/>
        <w:jc w:val="both"/>
        <w:rPr>
          <w:sz w:val="24"/>
          <w:szCs w:val="24"/>
        </w:rPr>
      </w:pPr>
    </w:p>
    <w:p w:rsidR="00B259C9" w:rsidRDefault="00B259C9" w:rsidP="000719DA">
      <w:pPr>
        <w:autoSpaceDE w:val="0"/>
        <w:autoSpaceDN w:val="0"/>
        <w:adjustRightInd w:val="0"/>
        <w:ind w:left="1080" w:right="1170"/>
        <w:jc w:val="both"/>
        <w:rPr>
          <w:sz w:val="24"/>
          <w:szCs w:val="24"/>
        </w:rPr>
      </w:pPr>
    </w:p>
    <w:p w:rsidR="00B259C9" w:rsidRDefault="00B259C9" w:rsidP="000719DA">
      <w:pPr>
        <w:autoSpaceDE w:val="0"/>
        <w:autoSpaceDN w:val="0"/>
        <w:adjustRightInd w:val="0"/>
        <w:ind w:left="1080" w:right="1170"/>
        <w:jc w:val="both"/>
        <w:rPr>
          <w:sz w:val="24"/>
          <w:szCs w:val="24"/>
        </w:rPr>
      </w:pPr>
    </w:p>
    <w:p w:rsidR="00B259C9" w:rsidRDefault="00B259C9" w:rsidP="000719DA">
      <w:pPr>
        <w:autoSpaceDE w:val="0"/>
        <w:autoSpaceDN w:val="0"/>
        <w:adjustRightInd w:val="0"/>
        <w:ind w:left="1080" w:right="1170"/>
        <w:jc w:val="both"/>
        <w:rPr>
          <w:sz w:val="24"/>
          <w:szCs w:val="24"/>
        </w:rPr>
      </w:pPr>
    </w:p>
    <w:p w:rsidR="00B259C9" w:rsidRDefault="00B259C9" w:rsidP="000719DA">
      <w:pPr>
        <w:autoSpaceDE w:val="0"/>
        <w:autoSpaceDN w:val="0"/>
        <w:adjustRightInd w:val="0"/>
        <w:ind w:left="1080" w:right="1170"/>
        <w:jc w:val="both"/>
        <w:rPr>
          <w:sz w:val="24"/>
          <w:szCs w:val="24"/>
        </w:rPr>
      </w:pPr>
    </w:p>
    <w:p w:rsidR="00B259C9" w:rsidRDefault="00B259C9" w:rsidP="000719DA">
      <w:pPr>
        <w:autoSpaceDE w:val="0"/>
        <w:autoSpaceDN w:val="0"/>
        <w:adjustRightInd w:val="0"/>
        <w:ind w:left="1080" w:right="1170"/>
        <w:jc w:val="both"/>
        <w:rPr>
          <w:sz w:val="24"/>
          <w:szCs w:val="24"/>
        </w:rPr>
      </w:pPr>
    </w:p>
    <w:p w:rsidR="00B259C9" w:rsidRDefault="00B259C9" w:rsidP="000719DA">
      <w:pPr>
        <w:autoSpaceDE w:val="0"/>
        <w:autoSpaceDN w:val="0"/>
        <w:adjustRightInd w:val="0"/>
        <w:ind w:left="1080" w:right="1170"/>
        <w:jc w:val="both"/>
        <w:rPr>
          <w:sz w:val="24"/>
          <w:szCs w:val="24"/>
        </w:rPr>
      </w:pPr>
    </w:p>
    <w:p w:rsidR="00B259C9" w:rsidRDefault="00B259C9" w:rsidP="000719DA">
      <w:pPr>
        <w:autoSpaceDE w:val="0"/>
        <w:autoSpaceDN w:val="0"/>
        <w:adjustRightInd w:val="0"/>
        <w:ind w:left="1080" w:right="1170"/>
        <w:jc w:val="both"/>
        <w:rPr>
          <w:sz w:val="24"/>
          <w:szCs w:val="24"/>
        </w:rPr>
      </w:pPr>
    </w:p>
    <w:p w:rsidR="00B259C9" w:rsidRDefault="00B259C9" w:rsidP="000719DA">
      <w:pPr>
        <w:autoSpaceDE w:val="0"/>
        <w:autoSpaceDN w:val="0"/>
        <w:adjustRightInd w:val="0"/>
        <w:ind w:left="1080" w:right="1170"/>
        <w:jc w:val="both"/>
        <w:rPr>
          <w:sz w:val="24"/>
          <w:szCs w:val="24"/>
        </w:rPr>
      </w:pPr>
    </w:p>
    <w:p w:rsidR="00B259C9" w:rsidRDefault="00B259C9" w:rsidP="000719DA">
      <w:pPr>
        <w:autoSpaceDE w:val="0"/>
        <w:autoSpaceDN w:val="0"/>
        <w:adjustRightInd w:val="0"/>
        <w:ind w:left="1080" w:right="1170"/>
        <w:jc w:val="both"/>
        <w:rPr>
          <w:sz w:val="24"/>
          <w:szCs w:val="24"/>
        </w:rPr>
      </w:pPr>
    </w:p>
    <w:p w:rsidR="00B259C9" w:rsidRDefault="00B259C9" w:rsidP="000719DA">
      <w:pPr>
        <w:autoSpaceDE w:val="0"/>
        <w:autoSpaceDN w:val="0"/>
        <w:adjustRightInd w:val="0"/>
        <w:ind w:left="1080" w:right="1170"/>
        <w:jc w:val="both"/>
        <w:rPr>
          <w:sz w:val="24"/>
          <w:szCs w:val="24"/>
        </w:rPr>
      </w:pPr>
    </w:p>
    <w:p w:rsidR="00B259C9" w:rsidRDefault="00B259C9" w:rsidP="000719DA">
      <w:pPr>
        <w:autoSpaceDE w:val="0"/>
        <w:autoSpaceDN w:val="0"/>
        <w:adjustRightInd w:val="0"/>
        <w:ind w:left="1080" w:right="1170"/>
        <w:jc w:val="both"/>
        <w:rPr>
          <w:sz w:val="24"/>
          <w:szCs w:val="24"/>
        </w:rPr>
      </w:pPr>
    </w:p>
    <w:p w:rsidR="00B259C9" w:rsidRDefault="00B259C9" w:rsidP="000719DA">
      <w:pPr>
        <w:autoSpaceDE w:val="0"/>
        <w:autoSpaceDN w:val="0"/>
        <w:adjustRightInd w:val="0"/>
        <w:ind w:left="1080" w:right="1170"/>
        <w:jc w:val="both"/>
        <w:rPr>
          <w:sz w:val="24"/>
          <w:szCs w:val="24"/>
        </w:rPr>
      </w:pPr>
    </w:p>
    <w:p w:rsidR="000719DA" w:rsidRPr="000719DA" w:rsidRDefault="000719DA" w:rsidP="000719DA">
      <w:pPr>
        <w:autoSpaceDE w:val="0"/>
        <w:autoSpaceDN w:val="0"/>
        <w:adjustRightInd w:val="0"/>
        <w:ind w:left="1080" w:right="1170"/>
        <w:jc w:val="both"/>
        <w:rPr>
          <w:sz w:val="24"/>
          <w:szCs w:val="24"/>
        </w:rPr>
      </w:pPr>
      <w:r w:rsidRPr="000719DA">
        <w:rPr>
          <w:sz w:val="24"/>
          <w:szCs w:val="24"/>
        </w:rPr>
        <w:lastRenderedPageBreak/>
        <w:t>To sum up, if any of the following four items are mentioned in the ad:</w:t>
      </w:r>
    </w:p>
    <w:p w:rsidR="000719DA" w:rsidRPr="000719DA" w:rsidRDefault="000719DA" w:rsidP="005212C7">
      <w:pPr>
        <w:pStyle w:val="ListParagraph"/>
        <w:numPr>
          <w:ilvl w:val="0"/>
          <w:numId w:val="22"/>
        </w:numPr>
        <w:autoSpaceDE w:val="0"/>
        <w:autoSpaceDN w:val="0"/>
        <w:adjustRightInd w:val="0"/>
        <w:ind w:right="1170"/>
        <w:jc w:val="both"/>
        <w:rPr>
          <w:sz w:val="24"/>
          <w:szCs w:val="24"/>
        </w:rPr>
      </w:pPr>
      <w:r w:rsidRPr="000719DA">
        <w:rPr>
          <w:sz w:val="24"/>
          <w:szCs w:val="24"/>
        </w:rPr>
        <w:t>Amount of down payment</w:t>
      </w:r>
    </w:p>
    <w:p w:rsidR="000719DA" w:rsidRPr="000719DA" w:rsidRDefault="000719DA" w:rsidP="005212C7">
      <w:pPr>
        <w:pStyle w:val="ListParagraph"/>
        <w:numPr>
          <w:ilvl w:val="0"/>
          <w:numId w:val="22"/>
        </w:numPr>
        <w:autoSpaceDE w:val="0"/>
        <w:autoSpaceDN w:val="0"/>
        <w:adjustRightInd w:val="0"/>
        <w:ind w:right="1170"/>
        <w:jc w:val="both"/>
        <w:rPr>
          <w:sz w:val="24"/>
          <w:szCs w:val="24"/>
        </w:rPr>
      </w:pPr>
      <w:r w:rsidRPr="000719DA">
        <w:rPr>
          <w:sz w:val="24"/>
          <w:szCs w:val="24"/>
        </w:rPr>
        <w:t>Monthly payment</w:t>
      </w:r>
    </w:p>
    <w:p w:rsidR="000719DA" w:rsidRPr="000719DA" w:rsidRDefault="000719DA" w:rsidP="005212C7">
      <w:pPr>
        <w:pStyle w:val="ListParagraph"/>
        <w:numPr>
          <w:ilvl w:val="0"/>
          <w:numId w:val="22"/>
        </w:numPr>
        <w:autoSpaceDE w:val="0"/>
        <w:autoSpaceDN w:val="0"/>
        <w:adjustRightInd w:val="0"/>
        <w:ind w:right="1170"/>
        <w:jc w:val="both"/>
        <w:rPr>
          <w:sz w:val="24"/>
          <w:szCs w:val="24"/>
        </w:rPr>
      </w:pPr>
      <w:r w:rsidRPr="000719DA">
        <w:rPr>
          <w:sz w:val="24"/>
          <w:szCs w:val="24"/>
        </w:rPr>
        <w:t>Number of Payment Periods</w:t>
      </w:r>
    </w:p>
    <w:p w:rsidR="000719DA" w:rsidRPr="000719DA" w:rsidRDefault="000719DA" w:rsidP="005212C7">
      <w:pPr>
        <w:pStyle w:val="ListParagraph"/>
        <w:numPr>
          <w:ilvl w:val="0"/>
          <w:numId w:val="22"/>
        </w:numPr>
        <w:autoSpaceDE w:val="0"/>
        <w:autoSpaceDN w:val="0"/>
        <w:adjustRightInd w:val="0"/>
        <w:ind w:right="1170"/>
        <w:jc w:val="both"/>
        <w:rPr>
          <w:sz w:val="24"/>
          <w:szCs w:val="24"/>
        </w:rPr>
      </w:pPr>
      <w:r w:rsidRPr="000719DA">
        <w:rPr>
          <w:sz w:val="24"/>
          <w:szCs w:val="24"/>
        </w:rPr>
        <w:t>Finance Charge</w:t>
      </w:r>
    </w:p>
    <w:p w:rsidR="000719DA" w:rsidRPr="000719DA" w:rsidRDefault="000719DA" w:rsidP="000719DA">
      <w:pPr>
        <w:autoSpaceDE w:val="0"/>
        <w:autoSpaceDN w:val="0"/>
        <w:adjustRightInd w:val="0"/>
        <w:ind w:left="1080" w:right="1170"/>
        <w:jc w:val="both"/>
        <w:rPr>
          <w:sz w:val="24"/>
          <w:szCs w:val="24"/>
        </w:rPr>
      </w:pPr>
    </w:p>
    <w:p w:rsidR="000719DA" w:rsidRPr="000719DA" w:rsidRDefault="00480AD4" w:rsidP="000719DA">
      <w:pPr>
        <w:autoSpaceDE w:val="0"/>
        <w:autoSpaceDN w:val="0"/>
        <w:adjustRightInd w:val="0"/>
        <w:ind w:left="1080" w:right="1170"/>
        <w:jc w:val="both"/>
        <w:rPr>
          <w:sz w:val="24"/>
          <w:szCs w:val="24"/>
        </w:rPr>
      </w:pPr>
      <w:proofErr w:type="gramStart"/>
      <w:r>
        <w:rPr>
          <w:sz w:val="24"/>
          <w:szCs w:val="24"/>
        </w:rPr>
        <w:t>t</w:t>
      </w:r>
      <w:r w:rsidRPr="000719DA">
        <w:rPr>
          <w:sz w:val="24"/>
          <w:szCs w:val="24"/>
        </w:rPr>
        <w:t>hen</w:t>
      </w:r>
      <w:proofErr w:type="gramEnd"/>
      <w:r w:rsidRPr="000719DA">
        <w:rPr>
          <w:sz w:val="24"/>
          <w:szCs w:val="24"/>
        </w:rPr>
        <w:t xml:space="preserve"> </w:t>
      </w:r>
      <w:r w:rsidR="000719DA" w:rsidRPr="000719DA">
        <w:rPr>
          <w:sz w:val="24"/>
          <w:szCs w:val="24"/>
        </w:rPr>
        <w:t>the advertiser must include the following as well:</w:t>
      </w:r>
    </w:p>
    <w:p w:rsidR="000719DA" w:rsidRPr="000719DA" w:rsidRDefault="000719DA" w:rsidP="005212C7">
      <w:pPr>
        <w:pStyle w:val="ListParagraph"/>
        <w:numPr>
          <w:ilvl w:val="0"/>
          <w:numId w:val="22"/>
        </w:numPr>
        <w:autoSpaceDE w:val="0"/>
        <w:autoSpaceDN w:val="0"/>
        <w:adjustRightInd w:val="0"/>
        <w:ind w:right="1170"/>
        <w:jc w:val="both"/>
        <w:rPr>
          <w:sz w:val="24"/>
          <w:szCs w:val="24"/>
        </w:rPr>
      </w:pPr>
      <w:r w:rsidRPr="000719DA">
        <w:rPr>
          <w:sz w:val="24"/>
          <w:szCs w:val="24"/>
        </w:rPr>
        <w:t>Down payment percentage</w:t>
      </w:r>
    </w:p>
    <w:p w:rsidR="000719DA" w:rsidRPr="000719DA" w:rsidRDefault="000719DA" w:rsidP="005212C7">
      <w:pPr>
        <w:pStyle w:val="ListParagraph"/>
        <w:numPr>
          <w:ilvl w:val="0"/>
          <w:numId w:val="22"/>
        </w:numPr>
        <w:autoSpaceDE w:val="0"/>
        <w:autoSpaceDN w:val="0"/>
        <w:adjustRightInd w:val="0"/>
        <w:ind w:right="1170"/>
        <w:jc w:val="both"/>
        <w:rPr>
          <w:sz w:val="24"/>
          <w:szCs w:val="24"/>
        </w:rPr>
      </w:pPr>
      <w:r w:rsidRPr="000719DA">
        <w:rPr>
          <w:sz w:val="24"/>
          <w:szCs w:val="24"/>
        </w:rPr>
        <w:t>Terms of repayment</w:t>
      </w:r>
    </w:p>
    <w:p w:rsidR="000719DA" w:rsidRPr="000719DA" w:rsidRDefault="000719DA" w:rsidP="005212C7">
      <w:pPr>
        <w:pStyle w:val="ListParagraph"/>
        <w:numPr>
          <w:ilvl w:val="0"/>
          <w:numId w:val="22"/>
        </w:numPr>
        <w:autoSpaceDE w:val="0"/>
        <w:autoSpaceDN w:val="0"/>
        <w:adjustRightInd w:val="0"/>
        <w:ind w:right="1170"/>
        <w:jc w:val="both"/>
        <w:rPr>
          <w:sz w:val="24"/>
          <w:szCs w:val="24"/>
        </w:rPr>
      </w:pPr>
      <w:r w:rsidRPr="000719DA">
        <w:rPr>
          <w:sz w:val="24"/>
          <w:szCs w:val="24"/>
        </w:rPr>
        <w:t>Annual Percentage Rate (not just “APR”)</w:t>
      </w:r>
    </w:p>
    <w:p w:rsidR="000719DA" w:rsidRPr="000719DA" w:rsidRDefault="000719DA" w:rsidP="005212C7">
      <w:pPr>
        <w:pStyle w:val="ListParagraph"/>
        <w:numPr>
          <w:ilvl w:val="0"/>
          <w:numId w:val="22"/>
        </w:numPr>
        <w:autoSpaceDE w:val="0"/>
        <w:autoSpaceDN w:val="0"/>
        <w:adjustRightInd w:val="0"/>
        <w:ind w:right="1170"/>
        <w:jc w:val="both"/>
        <w:rPr>
          <w:sz w:val="24"/>
          <w:szCs w:val="24"/>
        </w:rPr>
      </w:pPr>
      <w:r w:rsidRPr="000719DA">
        <w:rPr>
          <w:sz w:val="24"/>
          <w:szCs w:val="24"/>
        </w:rPr>
        <w:t>Risk of rate increases</w:t>
      </w:r>
    </w:p>
    <w:p w:rsidR="000719DA" w:rsidRPr="000719DA" w:rsidRDefault="000719DA" w:rsidP="000719DA">
      <w:pPr>
        <w:autoSpaceDE w:val="0"/>
        <w:autoSpaceDN w:val="0"/>
        <w:adjustRightInd w:val="0"/>
        <w:ind w:left="1080" w:right="1170"/>
        <w:jc w:val="both"/>
        <w:rPr>
          <w:sz w:val="24"/>
          <w:szCs w:val="24"/>
        </w:rPr>
      </w:pPr>
    </w:p>
    <w:p w:rsidR="000719DA" w:rsidRPr="000719DA" w:rsidRDefault="000719DA" w:rsidP="000719DA">
      <w:pPr>
        <w:autoSpaceDE w:val="0"/>
        <w:autoSpaceDN w:val="0"/>
        <w:adjustRightInd w:val="0"/>
        <w:ind w:left="1080" w:right="1170"/>
        <w:jc w:val="both"/>
        <w:rPr>
          <w:sz w:val="24"/>
          <w:szCs w:val="24"/>
          <w:u w:val="single"/>
        </w:rPr>
      </w:pPr>
      <w:r w:rsidRPr="000719DA">
        <w:rPr>
          <w:sz w:val="24"/>
          <w:szCs w:val="24"/>
          <w:u w:val="single"/>
        </w:rPr>
        <w:t xml:space="preserve">Trigger Terms (Part </w:t>
      </w:r>
      <w:r w:rsidR="00F623A5">
        <w:rPr>
          <w:sz w:val="24"/>
          <w:szCs w:val="24"/>
          <w:u w:val="single"/>
        </w:rPr>
        <w:t>1026</w:t>
      </w:r>
      <w:r w:rsidRPr="000719DA">
        <w:rPr>
          <w:sz w:val="24"/>
          <w:szCs w:val="24"/>
          <w:u w:val="single"/>
        </w:rPr>
        <w:t>.24 (d))</w:t>
      </w:r>
    </w:p>
    <w:p w:rsidR="000719DA" w:rsidRPr="000719DA" w:rsidRDefault="000719DA" w:rsidP="000719DA">
      <w:pPr>
        <w:autoSpaceDE w:val="0"/>
        <w:autoSpaceDN w:val="0"/>
        <w:adjustRightInd w:val="0"/>
        <w:ind w:left="1080" w:right="1170"/>
        <w:jc w:val="both"/>
        <w:rPr>
          <w:sz w:val="24"/>
          <w:szCs w:val="24"/>
        </w:rPr>
      </w:pPr>
    </w:p>
    <w:p w:rsidR="000719DA" w:rsidRDefault="000719DA" w:rsidP="000719DA">
      <w:pPr>
        <w:autoSpaceDE w:val="0"/>
        <w:autoSpaceDN w:val="0"/>
        <w:adjustRightInd w:val="0"/>
        <w:ind w:left="1080" w:right="1170"/>
        <w:jc w:val="both"/>
        <w:rPr>
          <w:sz w:val="24"/>
          <w:szCs w:val="24"/>
        </w:rPr>
      </w:pPr>
      <w:r w:rsidRPr="000719DA">
        <w:rPr>
          <w:sz w:val="24"/>
          <w:szCs w:val="24"/>
        </w:rPr>
        <w:t xml:space="preserve">One possible form of violation of the TILA advertising rule is the use of Trigger Terms.  </w:t>
      </w:r>
      <w:r w:rsidR="00982694">
        <w:rPr>
          <w:sz w:val="24"/>
          <w:szCs w:val="24"/>
        </w:rPr>
        <w:t>The expression ‘</w:t>
      </w:r>
      <w:r w:rsidRPr="000719DA">
        <w:rPr>
          <w:sz w:val="24"/>
          <w:szCs w:val="24"/>
        </w:rPr>
        <w:t>Trigger Terms</w:t>
      </w:r>
      <w:r w:rsidR="00982694">
        <w:rPr>
          <w:sz w:val="24"/>
          <w:szCs w:val="24"/>
        </w:rPr>
        <w:t>’</w:t>
      </w:r>
      <w:r w:rsidRPr="000719DA">
        <w:rPr>
          <w:sz w:val="24"/>
          <w:szCs w:val="24"/>
        </w:rPr>
        <w:t xml:space="preserve"> </w:t>
      </w:r>
      <w:r w:rsidR="00982694">
        <w:rPr>
          <w:sz w:val="24"/>
          <w:szCs w:val="24"/>
        </w:rPr>
        <w:t>refers to</w:t>
      </w:r>
      <w:r w:rsidR="00982694" w:rsidRPr="000719DA">
        <w:rPr>
          <w:sz w:val="24"/>
          <w:szCs w:val="24"/>
        </w:rPr>
        <w:t xml:space="preserve"> </w:t>
      </w:r>
      <w:r w:rsidRPr="000719DA">
        <w:rPr>
          <w:sz w:val="24"/>
          <w:szCs w:val="24"/>
        </w:rPr>
        <w:t>oversimplified</w:t>
      </w:r>
      <w:r w:rsidR="00982694">
        <w:rPr>
          <w:sz w:val="24"/>
          <w:szCs w:val="24"/>
        </w:rPr>
        <w:t>,</w:t>
      </w:r>
      <w:r w:rsidRPr="000719DA">
        <w:rPr>
          <w:sz w:val="24"/>
          <w:szCs w:val="24"/>
        </w:rPr>
        <w:t xml:space="preserve"> </w:t>
      </w:r>
      <w:r w:rsidR="00982694" w:rsidRPr="000719DA">
        <w:rPr>
          <w:sz w:val="24"/>
          <w:szCs w:val="24"/>
        </w:rPr>
        <w:t>attention</w:t>
      </w:r>
      <w:r w:rsidR="00982694">
        <w:rPr>
          <w:sz w:val="24"/>
          <w:szCs w:val="24"/>
        </w:rPr>
        <w:t>-</w:t>
      </w:r>
      <w:r w:rsidRPr="000719DA">
        <w:rPr>
          <w:sz w:val="24"/>
          <w:szCs w:val="24"/>
        </w:rPr>
        <w:t xml:space="preserve">grabbing terms used in advertisements.  Some examples of Trigger Terms are: </w:t>
      </w:r>
    </w:p>
    <w:p w:rsidR="000719DA" w:rsidRPr="000719DA" w:rsidRDefault="000719DA" w:rsidP="000719DA">
      <w:pPr>
        <w:autoSpaceDE w:val="0"/>
        <w:autoSpaceDN w:val="0"/>
        <w:adjustRightInd w:val="0"/>
        <w:ind w:left="1080" w:right="1170"/>
        <w:jc w:val="both"/>
        <w:rPr>
          <w:sz w:val="24"/>
          <w:szCs w:val="24"/>
        </w:rPr>
      </w:pPr>
    </w:p>
    <w:p w:rsidR="000719DA" w:rsidRPr="000719DA" w:rsidRDefault="000719DA" w:rsidP="005212C7">
      <w:pPr>
        <w:pStyle w:val="ListParagraph"/>
        <w:numPr>
          <w:ilvl w:val="2"/>
          <w:numId w:val="17"/>
        </w:numPr>
        <w:autoSpaceDE w:val="0"/>
        <w:autoSpaceDN w:val="0"/>
        <w:adjustRightInd w:val="0"/>
        <w:ind w:left="1440" w:right="1170"/>
        <w:jc w:val="both"/>
        <w:rPr>
          <w:sz w:val="24"/>
          <w:szCs w:val="24"/>
        </w:rPr>
      </w:pPr>
      <w:r w:rsidRPr="000719DA">
        <w:rPr>
          <w:sz w:val="24"/>
          <w:szCs w:val="24"/>
        </w:rPr>
        <w:t xml:space="preserve">"99% financing available!" </w:t>
      </w:r>
    </w:p>
    <w:p w:rsidR="000719DA" w:rsidRPr="000719DA" w:rsidRDefault="000719DA" w:rsidP="005212C7">
      <w:pPr>
        <w:pStyle w:val="ListParagraph"/>
        <w:numPr>
          <w:ilvl w:val="2"/>
          <w:numId w:val="17"/>
        </w:numPr>
        <w:autoSpaceDE w:val="0"/>
        <w:autoSpaceDN w:val="0"/>
        <w:adjustRightInd w:val="0"/>
        <w:ind w:left="1440" w:right="1170"/>
        <w:jc w:val="both"/>
        <w:rPr>
          <w:sz w:val="24"/>
          <w:szCs w:val="24"/>
        </w:rPr>
      </w:pPr>
      <w:r w:rsidRPr="000719DA">
        <w:rPr>
          <w:sz w:val="24"/>
          <w:szCs w:val="24"/>
        </w:rPr>
        <w:t>"A monthly payment of only $1</w:t>
      </w:r>
      <w:r w:rsidR="00982694">
        <w:rPr>
          <w:sz w:val="24"/>
          <w:szCs w:val="24"/>
        </w:rPr>
        <w:t>,</w:t>
      </w:r>
      <w:r w:rsidRPr="000719DA">
        <w:rPr>
          <w:sz w:val="24"/>
          <w:szCs w:val="24"/>
        </w:rPr>
        <w:t xml:space="preserve">000 moves you in!"  </w:t>
      </w:r>
    </w:p>
    <w:p w:rsidR="000719DA" w:rsidRPr="000719DA" w:rsidRDefault="000719DA" w:rsidP="005212C7">
      <w:pPr>
        <w:pStyle w:val="ListParagraph"/>
        <w:numPr>
          <w:ilvl w:val="2"/>
          <w:numId w:val="17"/>
        </w:numPr>
        <w:autoSpaceDE w:val="0"/>
        <w:autoSpaceDN w:val="0"/>
        <w:adjustRightInd w:val="0"/>
        <w:ind w:left="1440" w:right="1170"/>
        <w:jc w:val="both"/>
        <w:rPr>
          <w:sz w:val="24"/>
          <w:szCs w:val="24"/>
        </w:rPr>
      </w:pPr>
      <w:r w:rsidRPr="000719DA">
        <w:rPr>
          <w:sz w:val="24"/>
          <w:szCs w:val="24"/>
        </w:rPr>
        <w:t xml:space="preserve">"Only $3,000 down; $700 PITI total monthly payment!"  </w:t>
      </w:r>
    </w:p>
    <w:p w:rsidR="000719DA" w:rsidRPr="000719DA" w:rsidRDefault="000719DA" w:rsidP="005212C7">
      <w:pPr>
        <w:pStyle w:val="ListParagraph"/>
        <w:numPr>
          <w:ilvl w:val="2"/>
          <w:numId w:val="17"/>
        </w:numPr>
        <w:autoSpaceDE w:val="0"/>
        <w:autoSpaceDN w:val="0"/>
        <w:adjustRightInd w:val="0"/>
        <w:ind w:left="1440" w:right="1170"/>
        <w:jc w:val="both"/>
        <w:rPr>
          <w:sz w:val="24"/>
          <w:szCs w:val="24"/>
        </w:rPr>
      </w:pPr>
      <w:r w:rsidRPr="000719DA">
        <w:rPr>
          <w:sz w:val="24"/>
          <w:szCs w:val="24"/>
        </w:rPr>
        <w:t xml:space="preserve">"Only $3,000 down; 6% FHA-ARM" </w:t>
      </w:r>
    </w:p>
    <w:p w:rsidR="000719DA" w:rsidRPr="000719DA" w:rsidRDefault="000719DA" w:rsidP="000719DA">
      <w:pPr>
        <w:autoSpaceDE w:val="0"/>
        <w:autoSpaceDN w:val="0"/>
        <w:adjustRightInd w:val="0"/>
        <w:ind w:left="-900" w:right="1170"/>
        <w:jc w:val="both"/>
        <w:rPr>
          <w:sz w:val="24"/>
          <w:szCs w:val="24"/>
        </w:rPr>
      </w:pPr>
    </w:p>
    <w:p w:rsidR="000719DA" w:rsidRDefault="000719DA" w:rsidP="000719DA">
      <w:pPr>
        <w:autoSpaceDE w:val="0"/>
        <w:autoSpaceDN w:val="0"/>
        <w:adjustRightInd w:val="0"/>
        <w:ind w:left="1080" w:right="1170"/>
        <w:jc w:val="both"/>
        <w:rPr>
          <w:sz w:val="24"/>
          <w:szCs w:val="24"/>
        </w:rPr>
      </w:pPr>
      <w:r w:rsidRPr="000719DA">
        <w:rPr>
          <w:sz w:val="24"/>
          <w:szCs w:val="24"/>
        </w:rPr>
        <w:t>TILA specifically states that</w:t>
      </w:r>
      <w:r w:rsidR="00982694">
        <w:rPr>
          <w:sz w:val="24"/>
          <w:szCs w:val="24"/>
        </w:rPr>
        <w:t>,</w:t>
      </w:r>
      <w:r w:rsidRPr="000719DA">
        <w:rPr>
          <w:sz w:val="24"/>
          <w:szCs w:val="24"/>
        </w:rPr>
        <w:t xml:space="preserve"> when a Trigger Term is used, all the required advertising terms should be disclosed in close proximity with equal prominence.  This rule is very important.</w:t>
      </w:r>
    </w:p>
    <w:p w:rsidR="000719DA" w:rsidRPr="000719DA" w:rsidRDefault="000719DA" w:rsidP="000719DA">
      <w:pPr>
        <w:autoSpaceDE w:val="0"/>
        <w:autoSpaceDN w:val="0"/>
        <w:adjustRightInd w:val="0"/>
        <w:ind w:left="1080" w:right="1170"/>
        <w:jc w:val="both"/>
        <w:rPr>
          <w:sz w:val="24"/>
          <w:szCs w:val="24"/>
        </w:rPr>
      </w:pPr>
    </w:p>
    <w:p w:rsidR="000719DA" w:rsidRDefault="000719DA" w:rsidP="000719DA">
      <w:pPr>
        <w:autoSpaceDE w:val="0"/>
        <w:autoSpaceDN w:val="0"/>
        <w:adjustRightInd w:val="0"/>
        <w:ind w:left="1080" w:right="1170"/>
        <w:jc w:val="both"/>
        <w:rPr>
          <w:sz w:val="24"/>
          <w:szCs w:val="24"/>
        </w:rPr>
      </w:pPr>
      <w:r w:rsidRPr="000719DA">
        <w:rPr>
          <w:sz w:val="24"/>
          <w:szCs w:val="24"/>
        </w:rPr>
        <w:t>The focus of this law is to ensure that relevant loan terms appear together so that the consumer understands the whole picture.  For example, the following advertisement would comply with Regulation Z requirements because each trigger term is accompanied by a complete statement with the other financial terms nearby:</w:t>
      </w:r>
    </w:p>
    <w:p w:rsidR="000719DA" w:rsidRPr="000719DA" w:rsidRDefault="000719DA" w:rsidP="000719DA">
      <w:pPr>
        <w:autoSpaceDE w:val="0"/>
        <w:autoSpaceDN w:val="0"/>
        <w:adjustRightInd w:val="0"/>
        <w:ind w:left="1080" w:right="1170"/>
        <w:jc w:val="both"/>
        <w:rPr>
          <w:sz w:val="24"/>
          <w:szCs w:val="24"/>
        </w:rPr>
      </w:pPr>
    </w:p>
    <w:p w:rsidR="000719DA" w:rsidRDefault="000719DA" w:rsidP="000719DA">
      <w:pPr>
        <w:autoSpaceDE w:val="0"/>
        <w:autoSpaceDN w:val="0"/>
        <w:adjustRightInd w:val="0"/>
        <w:ind w:left="1080" w:right="1170"/>
        <w:jc w:val="both"/>
        <w:rPr>
          <w:sz w:val="24"/>
          <w:szCs w:val="24"/>
        </w:rPr>
      </w:pPr>
      <w:r w:rsidRPr="000719DA">
        <w:rPr>
          <w:sz w:val="24"/>
          <w:szCs w:val="24"/>
        </w:rPr>
        <w:t xml:space="preserve">"Typical VA financing of 30-year loan: Cash price of a two bedroom is $75,000; no down payment: 360 monthly payments of $850 (including estimated taxes) at an 8.5% Annual Percentage Rate."   </w:t>
      </w:r>
    </w:p>
    <w:p w:rsidR="000719DA" w:rsidRPr="000719DA" w:rsidRDefault="000719DA" w:rsidP="000719DA">
      <w:pPr>
        <w:autoSpaceDE w:val="0"/>
        <w:autoSpaceDN w:val="0"/>
        <w:adjustRightInd w:val="0"/>
        <w:ind w:left="1080" w:right="1170"/>
        <w:jc w:val="both"/>
        <w:rPr>
          <w:sz w:val="24"/>
          <w:szCs w:val="24"/>
        </w:rPr>
      </w:pPr>
    </w:p>
    <w:p w:rsidR="000719DA" w:rsidRDefault="000719DA" w:rsidP="000719DA">
      <w:pPr>
        <w:autoSpaceDE w:val="0"/>
        <w:autoSpaceDN w:val="0"/>
        <w:adjustRightInd w:val="0"/>
        <w:ind w:left="1080" w:right="1170"/>
        <w:jc w:val="both"/>
        <w:rPr>
          <w:sz w:val="24"/>
          <w:szCs w:val="24"/>
        </w:rPr>
      </w:pPr>
      <w:r w:rsidRPr="000719DA">
        <w:rPr>
          <w:sz w:val="24"/>
          <w:szCs w:val="24"/>
        </w:rPr>
        <w:t>As you can see, this sentence incorporates a number of Trigger Terms, but they are all in close proximity.</w:t>
      </w:r>
    </w:p>
    <w:p w:rsidR="000719DA" w:rsidRDefault="000719DA" w:rsidP="000719DA">
      <w:pPr>
        <w:autoSpaceDE w:val="0"/>
        <w:autoSpaceDN w:val="0"/>
        <w:adjustRightInd w:val="0"/>
        <w:ind w:left="1080" w:right="1170"/>
        <w:jc w:val="both"/>
        <w:rPr>
          <w:sz w:val="24"/>
          <w:szCs w:val="24"/>
        </w:rPr>
      </w:pPr>
    </w:p>
    <w:p w:rsidR="00B259C9" w:rsidRDefault="00B259C9" w:rsidP="000719DA">
      <w:pPr>
        <w:autoSpaceDE w:val="0"/>
        <w:autoSpaceDN w:val="0"/>
        <w:adjustRightInd w:val="0"/>
        <w:ind w:left="1080" w:right="1170"/>
        <w:jc w:val="both"/>
        <w:rPr>
          <w:sz w:val="24"/>
          <w:szCs w:val="24"/>
        </w:rPr>
      </w:pPr>
    </w:p>
    <w:p w:rsidR="000719DA" w:rsidRDefault="000719DA" w:rsidP="00F63060">
      <w:pPr>
        <w:pStyle w:val="Heading2"/>
      </w:pPr>
      <w:bookmarkStart w:id="25" w:name="_Toc393811640"/>
      <w:r w:rsidRPr="000719DA">
        <w:t>Other Advertising Rules</w:t>
      </w:r>
      <w:bookmarkEnd w:id="25"/>
    </w:p>
    <w:p w:rsidR="000719DA" w:rsidRPr="000719DA" w:rsidRDefault="000719DA" w:rsidP="000719DA">
      <w:pPr>
        <w:pStyle w:val="ListParagraph"/>
        <w:autoSpaceDE w:val="0"/>
        <w:autoSpaceDN w:val="0"/>
        <w:adjustRightInd w:val="0"/>
        <w:ind w:left="1080" w:right="1170"/>
        <w:rPr>
          <w:rFonts w:ascii="Humnst777 Lt BT" w:hAnsi="Humnst777 Lt BT"/>
          <w:color w:val="365F91" w:themeColor="accent1" w:themeShade="BF"/>
          <w:sz w:val="36"/>
          <w:szCs w:val="36"/>
        </w:rPr>
      </w:pPr>
    </w:p>
    <w:p w:rsidR="007A6DA8" w:rsidRDefault="001E1D0D" w:rsidP="005212C7">
      <w:pPr>
        <w:pStyle w:val="ListParagraph"/>
        <w:numPr>
          <w:ilvl w:val="0"/>
          <w:numId w:val="43"/>
        </w:numPr>
        <w:autoSpaceDE w:val="0"/>
        <w:autoSpaceDN w:val="0"/>
        <w:adjustRightInd w:val="0"/>
        <w:ind w:right="1170"/>
        <w:jc w:val="both"/>
        <w:rPr>
          <w:sz w:val="24"/>
          <w:szCs w:val="24"/>
        </w:rPr>
      </w:pPr>
      <w:r w:rsidRPr="001E1D0D">
        <w:rPr>
          <w:b/>
          <w:sz w:val="24"/>
          <w:szCs w:val="24"/>
        </w:rPr>
        <w:t>Tax Implication:</w:t>
      </w:r>
      <w:r w:rsidRPr="001E1D0D">
        <w:rPr>
          <w:sz w:val="24"/>
          <w:szCs w:val="24"/>
        </w:rPr>
        <w:t xml:space="preserve"> On any mortgage, if the payments disclosed do not include taxes and an insurance premium, the advertiser needs to disclose clearly that the actual payment obligation will be greater.  </w:t>
      </w:r>
    </w:p>
    <w:p w:rsidR="000719DA" w:rsidRPr="000719DA" w:rsidRDefault="000719DA" w:rsidP="000719DA">
      <w:pPr>
        <w:autoSpaceDE w:val="0"/>
        <w:autoSpaceDN w:val="0"/>
        <w:adjustRightInd w:val="0"/>
        <w:ind w:left="1080" w:right="1170"/>
        <w:jc w:val="both"/>
        <w:rPr>
          <w:sz w:val="24"/>
          <w:szCs w:val="24"/>
        </w:rPr>
      </w:pPr>
    </w:p>
    <w:p w:rsidR="000719DA" w:rsidRDefault="000719DA" w:rsidP="000719DA">
      <w:pPr>
        <w:autoSpaceDE w:val="0"/>
        <w:autoSpaceDN w:val="0"/>
        <w:adjustRightInd w:val="0"/>
        <w:ind w:left="1080" w:right="1170"/>
        <w:jc w:val="both"/>
        <w:rPr>
          <w:sz w:val="24"/>
          <w:szCs w:val="24"/>
        </w:rPr>
      </w:pPr>
      <w:r w:rsidRPr="000719DA">
        <w:rPr>
          <w:sz w:val="24"/>
          <w:szCs w:val="24"/>
        </w:rPr>
        <w:t xml:space="preserve">For example, on home equity loans, companies cannot advertise the tax benefits of a home equity loan without clarifying that the loan balance which is above the fair market value of the home is not tax deductible.  They must also add the disclaimer that a customer should seek advice from a professional tax consultant to ensure their eligibility for these benefits.  </w:t>
      </w:r>
    </w:p>
    <w:p w:rsidR="000719DA" w:rsidRPr="000719DA" w:rsidRDefault="000719DA" w:rsidP="000719DA">
      <w:pPr>
        <w:autoSpaceDE w:val="0"/>
        <w:autoSpaceDN w:val="0"/>
        <w:adjustRightInd w:val="0"/>
        <w:ind w:left="1080" w:right="1170"/>
        <w:jc w:val="both"/>
        <w:rPr>
          <w:sz w:val="24"/>
          <w:szCs w:val="24"/>
        </w:rPr>
      </w:pPr>
    </w:p>
    <w:p w:rsidR="007A6DA8" w:rsidRDefault="001E1D0D" w:rsidP="005212C7">
      <w:pPr>
        <w:pStyle w:val="ListParagraph"/>
        <w:numPr>
          <w:ilvl w:val="0"/>
          <w:numId w:val="43"/>
        </w:numPr>
        <w:autoSpaceDE w:val="0"/>
        <w:autoSpaceDN w:val="0"/>
        <w:adjustRightInd w:val="0"/>
        <w:ind w:right="1170"/>
        <w:jc w:val="both"/>
        <w:rPr>
          <w:sz w:val="24"/>
          <w:szCs w:val="24"/>
        </w:rPr>
      </w:pPr>
      <w:r w:rsidRPr="001E1D0D">
        <w:rPr>
          <w:b/>
          <w:sz w:val="24"/>
          <w:szCs w:val="24"/>
        </w:rPr>
        <w:t>Advertise only currently available terms</w:t>
      </w:r>
      <w:r w:rsidRPr="001E1D0D">
        <w:rPr>
          <w:sz w:val="24"/>
          <w:szCs w:val="24"/>
        </w:rPr>
        <w:t xml:space="preserve">: on advertisements, terms of the mortgage should be what is </w:t>
      </w:r>
      <w:r w:rsidRPr="001E1D0D">
        <w:rPr>
          <w:i/>
          <w:sz w:val="24"/>
          <w:szCs w:val="24"/>
          <w:u w:val="single"/>
        </w:rPr>
        <w:t>currently available</w:t>
      </w:r>
      <w:r w:rsidRPr="001E1D0D">
        <w:rPr>
          <w:sz w:val="24"/>
          <w:szCs w:val="24"/>
        </w:rPr>
        <w:t xml:space="preserve"> and should be disclosed in a clear and </w:t>
      </w:r>
      <w:r w:rsidRPr="001E1D0D">
        <w:rPr>
          <w:i/>
          <w:sz w:val="24"/>
          <w:szCs w:val="24"/>
          <w:u w:val="single"/>
        </w:rPr>
        <w:t>conspicuous</w:t>
      </w:r>
      <w:r w:rsidRPr="001E1D0D">
        <w:rPr>
          <w:sz w:val="24"/>
          <w:szCs w:val="24"/>
        </w:rPr>
        <w:t xml:space="preserve"> way.  </w:t>
      </w:r>
    </w:p>
    <w:p w:rsidR="000719DA" w:rsidRPr="000719DA" w:rsidRDefault="000719DA" w:rsidP="000719DA">
      <w:pPr>
        <w:autoSpaceDE w:val="0"/>
        <w:autoSpaceDN w:val="0"/>
        <w:adjustRightInd w:val="0"/>
        <w:ind w:left="1080" w:right="1170"/>
        <w:jc w:val="both"/>
        <w:rPr>
          <w:sz w:val="24"/>
          <w:szCs w:val="24"/>
        </w:rPr>
      </w:pPr>
    </w:p>
    <w:p w:rsidR="007A6DA8" w:rsidRDefault="001E1D0D" w:rsidP="005212C7">
      <w:pPr>
        <w:pStyle w:val="ListParagraph"/>
        <w:numPr>
          <w:ilvl w:val="0"/>
          <w:numId w:val="43"/>
        </w:numPr>
        <w:autoSpaceDE w:val="0"/>
        <w:autoSpaceDN w:val="0"/>
        <w:adjustRightInd w:val="0"/>
        <w:ind w:right="1170"/>
        <w:jc w:val="both"/>
        <w:rPr>
          <w:sz w:val="24"/>
          <w:szCs w:val="24"/>
        </w:rPr>
      </w:pPr>
      <w:r w:rsidRPr="001E1D0D">
        <w:rPr>
          <w:b/>
          <w:sz w:val="24"/>
          <w:szCs w:val="24"/>
        </w:rPr>
        <w:t>Advertised rates</w:t>
      </w:r>
      <w:r w:rsidRPr="001E1D0D">
        <w:rPr>
          <w:sz w:val="24"/>
          <w:szCs w:val="24"/>
        </w:rPr>
        <w:t xml:space="preserve">: Advertisers must show finance charges as one simple APR.  If the rate changes during the life of the mortgage, the adjusted rates and time period they apply to must also be disclosed in the advertisement.  For ARMs specifically, the index and margin must be disclosed and the phrases </w:t>
      </w:r>
      <w:r w:rsidR="009D2EF9">
        <w:rPr>
          <w:sz w:val="24"/>
          <w:szCs w:val="24"/>
        </w:rPr>
        <w:t>‘</w:t>
      </w:r>
      <w:r w:rsidRPr="001E1D0D">
        <w:rPr>
          <w:sz w:val="24"/>
          <w:szCs w:val="24"/>
        </w:rPr>
        <w:t>Adjustable-Rate Mortgage</w:t>
      </w:r>
      <w:r w:rsidR="009D2EF9">
        <w:rPr>
          <w:sz w:val="24"/>
          <w:szCs w:val="24"/>
        </w:rPr>
        <w:t>’</w:t>
      </w:r>
      <w:r w:rsidR="009D2EF9" w:rsidRPr="001E1D0D">
        <w:rPr>
          <w:sz w:val="24"/>
          <w:szCs w:val="24"/>
        </w:rPr>
        <w:t xml:space="preserve"> </w:t>
      </w:r>
      <w:r w:rsidRPr="001E1D0D">
        <w:rPr>
          <w:sz w:val="24"/>
          <w:szCs w:val="24"/>
        </w:rPr>
        <w:t xml:space="preserve">or </w:t>
      </w:r>
      <w:r w:rsidR="009D2EF9">
        <w:rPr>
          <w:sz w:val="24"/>
          <w:szCs w:val="24"/>
        </w:rPr>
        <w:t>‘</w:t>
      </w:r>
      <w:r w:rsidRPr="001E1D0D">
        <w:rPr>
          <w:sz w:val="24"/>
          <w:szCs w:val="24"/>
        </w:rPr>
        <w:t>ARM</w:t>
      </w:r>
      <w:r w:rsidR="009D2EF9">
        <w:rPr>
          <w:sz w:val="24"/>
          <w:szCs w:val="24"/>
        </w:rPr>
        <w:t>’</w:t>
      </w:r>
      <w:r w:rsidR="009D2EF9" w:rsidRPr="001E1D0D">
        <w:rPr>
          <w:sz w:val="24"/>
          <w:szCs w:val="24"/>
        </w:rPr>
        <w:t xml:space="preserve"> </w:t>
      </w:r>
      <w:r w:rsidRPr="001E1D0D">
        <w:rPr>
          <w:sz w:val="24"/>
          <w:szCs w:val="24"/>
        </w:rPr>
        <w:t xml:space="preserve">or </w:t>
      </w:r>
      <w:r w:rsidR="009D2EF9">
        <w:rPr>
          <w:sz w:val="24"/>
          <w:szCs w:val="24"/>
        </w:rPr>
        <w:t>‘</w:t>
      </w:r>
      <w:r w:rsidRPr="001E1D0D">
        <w:rPr>
          <w:sz w:val="24"/>
          <w:szCs w:val="24"/>
        </w:rPr>
        <w:t>Variable-Rate Mortgage</w:t>
      </w:r>
      <w:r w:rsidR="009D2EF9">
        <w:rPr>
          <w:sz w:val="24"/>
          <w:szCs w:val="24"/>
        </w:rPr>
        <w:t>’</w:t>
      </w:r>
      <w:r w:rsidR="009D2EF9" w:rsidRPr="001E1D0D">
        <w:rPr>
          <w:sz w:val="24"/>
          <w:szCs w:val="24"/>
        </w:rPr>
        <w:t xml:space="preserve"> </w:t>
      </w:r>
      <w:r w:rsidRPr="001E1D0D">
        <w:rPr>
          <w:sz w:val="24"/>
          <w:szCs w:val="24"/>
        </w:rPr>
        <w:t>must appear before the word ’fixed.’</w:t>
      </w:r>
    </w:p>
    <w:p w:rsidR="000719DA" w:rsidRPr="000719DA" w:rsidRDefault="000719DA" w:rsidP="000719DA">
      <w:pPr>
        <w:autoSpaceDE w:val="0"/>
        <w:autoSpaceDN w:val="0"/>
        <w:adjustRightInd w:val="0"/>
        <w:ind w:left="1080" w:right="1170"/>
        <w:jc w:val="both"/>
        <w:rPr>
          <w:sz w:val="24"/>
          <w:szCs w:val="24"/>
        </w:rPr>
      </w:pPr>
    </w:p>
    <w:p w:rsidR="007A6DA8" w:rsidRDefault="001E1D0D" w:rsidP="005212C7">
      <w:pPr>
        <w:pStyle w:val="ListParagraph"/>
        <w:numPr>
          <w:ilvl w:val="0"/>
          <w:numId w:val="43"/>
        </w:numPr>
        <w:autoSpaceDE w:val="0"/>
        <w:autoSpaceDN w:val="0"/>
        <w:adjustRightInd w:val="0"/>
        <w:ind w:right="1170"/>
        <w:jc w:val="both"/>
        <w:rPr>
          <w:sz w:val="24"/>
          <w:szCs w:val="24"/>
        </w:rPr>
      </w:pPr>
      <w:r w:rsidRPr="001E1D0D">
        <w:rPr>
          <w:b/>
          <w:sz w:val="24"/>
          <w:szCs w:val="24"/>
        </w:rPr>
        <w:t>Balloons</w:t>
      </w:r>
      <w:r w:rsidRPr="001E1D0D">
        <w:rPr>
          <w:sz w:val="24"/>
          <w:szCs w:val="24"/>
        </w:rPr>
        <w:t>: any possible Balloon payments and the causes that trigger a Balloon payment need to be disclosed prominently.</w:t>
      </w:r>
    </w:p>
    <w:p w:rsidR="000719DA" w:rsidRPr="000719DA" w:rsidRDefault="000719DA" w:rsidP="000719DA">
      <w:pPr>
        <w:autoSpaceDE w:val="0"/>
        <w:autoSpaceDN w:val="0"/>
        <w:adjustRightInd w:val="0"/>
        <w:ind w:left="1080" w:right="1170"/>
        <w:jc w:val="both"/>
        <w:rPr>
          <w:sz w:val="24"/>
          <w:szCs w:val="24"/>
        </w:rPr>
      </w:pPr>
    </w:p>
    <w:p w:rsidR="007A6DA8" w:rsidRDefault="001E1D0D" w:rsidP="005212C7">
      <w:pPr>
        <w:pStyle w:val="ListParagraph"/>
        <w:numPr>
          <w:ilvl w:val="0"/>
          <w:numId w:val="43"/>
        </w:numPr>
        <w:autoSpaceDE w:val="0"/>
        <w:autoSpaceDN w:val="0"/>
        <w:adjustRightInd w:val="0"/>
        <w:ind w:right="1170"/>
        <w:jc w:val="both"/>
        <w:rPr>
          <w:sz w:val="24"/>
          <w:szCs w:val="24"/>
        </w:rPr>
      </w:pPr>
      <w:r w:rsidRPr="001E1D0D">
        <w:rPr>
          <w:b/>
          <w:sz w:val="24"/>
          <w:szCs w:val="24"/>
        </w:rPr>
        <w:t>Promotional / Teaser Rate</w:t>
      </w:r>
      <w:r w:rsidRPr="001E1D0D">
        <w:rPr>
          <w:sz w:val="24"/>
          <w:szCs w:val="24"/>
        </w:rPr>
        <w:t>: if the note (or interest) rate will go up in the future, the advertisement should also state the expected interest rate without the teaser discount as well as the duration of the promotional period.</w:t>
      </w:r>
    </w:p>
    <w:p w:rsidR="000719DA" w:rsidRPr="000719DA" w:rsidRDefault="000719DA" w:rsidP="000719DA">
      <w:pPr>
        <w:autoSpaceDE w:val="0"/>
        <w:autoSpaceDN w:val="0"/>
        <w:adjustRightInd w:val="0"/>
        <w:ind w:left="1080" w:right="1170"/>
        <w:jc w:val="both"/>
        <w:rPr>
          <w:sz w:val="24"/>
          <w:szCs w:val="24"/>
        </w:rPr>
      </w:pPr>
    </w:p>
    <w:p w:rsidR="007A6DA8" w:rsidRDefault="001E1D0D" w:rsidP="005212C7">
      <w:pPr>
        <w:pStyle w:val="ListParagraph"/>
        <w:numPr>
          <w:ilvl w:val="0"/>
          <w:numId w:val="43"/>
        </w:numPr>
        <w:autoSpaceDE w:val="0"/>
        <w:autoSpaceDN w:val="0"/>
        <w:adjustRightInd w:val="0"/>
        <w:ind w:right="1170"/>
        <w:jc w:val="both"/>
        <w:rPr>
          <w:sz w:val="24"/>
          <w:szCs w:val="24"/>
        </w:rPr>
      </w:pPr>
      <w:r w:rsidRPr="001E1D0D">
        <w:rPr>
          <w:b/>
          <w:sz w:val="24"/>
          <w:szCs w:val="24"/>
        </w:rPr>
        <w:t>Misleading Comparison</w:t>
      </w:r>
      <w:r w:rsidR="00650ABB">
        <w:rPr>
          <w:b/>
          <w:sz w:val="24"/>
          <w:szCs w:val="24"/>
        </w:rPr>
        <w:t>s</w:t>
      </w:r>
      <w:r w:rsidRPr="001E1D0D">
        <w:rPr>
          <w:sz w:val="24"/>
          <w:szCs w:val="24"/>
        </w:rPr>
        <w:t>:  Advertisements are prohibited from:</w:t>
      </w:r>
    </w:p>
    <w:p w:rsidR="000719DA" w:rsidRPr="000719DA" w:rsidRDefault="000719DA" w:rsidP="000719DA">
      <w:pPr>
        <w:autoSpaceDE w:val="0"/>
        <w:autoSpaceDN w:val="0"/>
        <w:adjustRightInd w:val="0"/>
        <w:ind w:left="720" w:right="1170"/>
        <w:jc w:val="both"/>
        <w:rPr>
          <w:sz w:val="24"/>
          <w:szCs w:val="24"/>
        </w:rPr>
      </w:pPr>
    </w:p>
    <w:p w:rsidR="007A6DA8" w:rsidRDefault="000719DA" w:rsidP="005212C7">
      <w:pPr>
        <w:pStyle w:val="ListParagraph"/>
        <w:numPr>
          <w:ilvl w:val="0"/>
          <w:numId w:val="44"/>
        </w:numPr>
        <w:autoSpaceDE w:val="0"/>
        <w:autoSpaceDN w:val="0"/>
        <w:adjustRightInd w:val="0"/>
        <w:ind w:right="1170"/>
        <w:jc w:val="both"/>
        <w:rPr>
          <w:sz w:val="24"/>
          <w:szCs w:val="24"/>
        </w:rPr>
      </w:pPr>
      <w:r w:rsidRPr="000719DA">
        <w:rPr>
          <w:sz w:val="24"/>
          <w:szCs w:val="24"/>
        </w:rPr>
        <w:t xml:space="preserve">Misrepresenting claims of debt elimination by a misleading claim that the mortgage product offered will eliminate debt or result in a waiver or forgiveness of a consumer’s existing loan terms with or obligation to another creditor.  </w:t>
      </w:r>
    </w:p>
    <w:p w:rsidR="007A6DA8" w:rsidRDefault="001E1D0D" w:rsidP="005212C7">
      <w:pPr>
        <w:pStyle w:val="ListParagraph"/>
        <w:numPr>
          <w:ilvl w:val="0"/>
          <w:numId w:val="44"/>
        </w:numPr>
        <w:autoSpaceDE w:val="0"/>
        <w:autoSpaceDN w:val="0"/>
        <w:adjustRightInd w:val="0"/>
        <w:ind w:right="1170"/>
        <w:jc w:val="both"/>
        <w:rPr>
          <w:sz w:val="24"/>
          <w:szCs w:val="24"/>
        </w:rPr>
      </w:pPr>
      <w:r w:rsidRPr="001E1D0D">
        <w:rPr>
          <w:sz w:val="24"/>
          <w:szCs w:val="24"/>
        </w:rPr>
        <w:t xml:space="preserve">Misrepresenting government endorsements by making any statement in an advertisement that the product offered is a </w:t>
      </w:r>
      <w:r w:rsidR="009D2EF9">
        <w:rPr>
          <w:sz w:val="24"/>
          <w:szCs w:val="24"/>
        </w:rPr>
        <w:t>‘</w:t>
      </w:r>
      <w:r w:rsidRPr="001E1D0D">
        <w:rPr>
          <w:sz w:val="24"/>
          <w:szCs w:val="24"/>
        </w:rPr>
        <w:t>government loan program,</w:t>
      </w:r>
      <w:r w:rsidR="009D2EF9">
        <w:rPr>
          <w:sz w:val="24"/>
          <w:szCs w:val="24"/>
        </w:rPr>
        <w:t>’</w:t>
      </w:r>
      <w:r w:rsidRPr="001E1D0D">
        <w:rPr>
          <w:sz w:val="24"/>
          <w:szCs w:val="24"/>
        </w:rPr>
        <w:t xml:space="preserve"> or </w:t>
      </w:r>
      <w:r w:rsidR="009D2EF9">
        <w:rPr>
          <w:sz w:val="24"/>
          <w:szCs w:val="24"/>
        </w:rPr>
        <w:t>a ‘</w:t>
      </w:r>
      <w:r w:rsidRPr="001E1D0D">
        <w:rPr>
          <w:sz w:val="24"/>
          <w:szCs w:val="24"/>
        </w:rPr>
        <w:t>government-supported loan</w:t>
      </w:r>
      <w:r w:rsidR="009D2EF9" w:rsidRPr="001E1D0D">
        <w:rPr>
          <w:sz w:val="24"/>
          <w:szCs w:val="24"/>
        </w:rPr>
        <w:t>.</w:t>
      </w:r>
      <w:r w:rsidR="009D2EF9">
        <w:rPr>
          <w:sz w:val="24"/>
          <w:szCs w:val="24"/>
        </w:rPr>
        <w:t>’</w:t>
      </w:r>
      <w:r w:rsidR="009D2EF9" w:rsidRPr="001E1D0D">
        <w:rPr>
          <w:sz w:val="24"/>
          <w:szCs w:val="24"/>
        </w:rPr>
        <w:t xml:space="preserve">  </w:t>
      </w:r>
      <w:r w:rsidRPr="001E1D0D">
        <w:rPr>
          <w:sz w:val="24"/>
          <w:szCs w:val="24"/>
        </w:rPr>
        <w:t xml:space="preserve">Only an FHA loan, VA loan or similar loan program that is endorsed or sponsored by a federal, state or local government is considered a government-supported loan. </w:t>
      </w:r>
    </w:p>
    <w:p w:rsidR="007A6DA8" w:rsidRDefault="001E1D0D" w:rsidP="005212C7">
      <w:pPr>
        <w:pStyle w:val="ListParagraph"/>
        <w:numPr>
          <w:ilvl w:val="0"/>
          <w:numId w:val="44"/>
        </w:numPr>
        <w:autoSpaceDE w:val="0"/>
        <w:autoSpaceDN w:val="0"/>
        <w:adjustRightInd w:val="0"/>
        <w:ind w:right="1170"/>
        <w:jc w:val="both"/>
        <w:rPr>
          <w:sz w:val="24"/>
          <w:szCs w:val="24"/>
        </w:rPr>
      </w:pPr>
      <w:r w:rsidRPr="001E1D0D">
        <w:rPr>
          <w:sz w:val="24"/>
          <w:szCs w:val="24"/>
        </w:rPr>
        <w:t xml:space="preserve">Comparing one mortgage with other mortgages that have different risk profiles.  For example, a creditor cannot compare a Balloon with a 30-year </w:t>
      </w:r>
      <w:r w:rsidR="004D5099" w:rsidRPr="001E1D0D">
        <w:rPr>
          <w:sz w:val="24"/>
          <w:szCs w:val="24"/>
        </w:rPr>
        <w:t>fixed</w:t>
      </w:r>
      <w:r w:rsidR="004D5099">
        <w:rPr>
          <w:sz w:val="24"/>
          <w:szCs w:val="24"/>
        </w:rPr>
        <w:t>-</w:t>
      </w:r>
      <w:r w:rsidRPr="001E1D0D">
        <w:rPr>
          <w:sz w:val="24"/>
          <w:szCs w:val="24"/>
        </w:rPr>
        <w:t>rate mortgage.</w:t>
      </w:r>
    </w:p>
    <w:p w:rsidR="007A6DA8" w:rsidRDefault="001E1D0D" w:rsidP="005212C7">
      <w:pPr>
        <w:pStyle w:val="ListParagraph"/>
        <w:numPr>
          <w:ilvl w:val="0"/>
          <w:numId w:val="44"/>
        </w:numPr>
        <w:autoSpaceDE w:val="0"/>
        <w:autoSpaceDN w:val="0"/>
        <w:adjustRightInd w:val="0"/>
        <w:ind w:right="1170"/>
        <w:jc w:val="both"/>
        <w:rPr>
          <w:sz w:val="24"/>
          <w:szCs w:val="24"/>
        </w:rPr>
      </w:pPr>
      <w:r w:rsidRPr="001E1D0D">
        <w:rPr>
          <w:sz w:val="24"/>
          <w:szCs w:val="24"/>
        </w:rPr>
        <w:lastRenderedPageBreak/>
        <w:t xml:space="preserve">Making misleading statements that adjustable-rate mortgages have a fixed interest rate.  </w:t>
      </w:r>
    </w:p>
    <w:p w:rsidR="007A6DA8" w:rsidRDefault="001E1D0D" w:rsidP="005212C7">
      <w:pPr>
        <w:pStyle w:val="ListParagraph"/>
        <w:numPr>
          <w:ilvl w:val="0"/>
          <w:numId w:val="44"/>
        </w:numPr>
        <w:autoSpaceDE w:val="0"/>
        <w:autoSpaceDN w:val="0"/>
        <w:adjustRightInd w:val="0"/>
        <w:ind w:right="1170"/>
        <w:jc w:val="both"/>
        <w:rPr>
          <w:sz w:val="24"/>
          <w:szCs w:val="24"/>
        </w:rPr>
      </w:pPr>
      <w:r w:rsidRPr="001E1D0D">
        <w:rPr>
          <w:sz w:val="24"/>
          <w:szCs w:val="24"/>
        </w:rPr>
        <w:t>Representing only selected terms in a foreign language while stating other terms in English.  Also, the creditor must be sure that relevant terms are disclosed in close proximity to their use and with equal prominence.</w:t>
      </w:r>
    </w:p>
    <w:p w:rsidR="007A6DA8" w:rsidRDefault="001E1D0D" w:rsidP="005212C7">
      <w:pPr>
        <w:pStyle w:val="ListParagraph"/>
        <w:numPr>
          <w:ilvl w:val="0"/>
          <w:numId w:val="44"/>
        </w:numPr>
        <w:autoSpaceDE w:val="0"/>
        <w:autoSpaceDN w:val="0"/>
        <w:adjustRightInd w:val="0"/>
        <w:ind w:right="1170"/>
        <w:jc w:val="both"/>
        <w:rPr>
          <w:sz w:val="24"/>
          <w:szCs w:val="24"/>
        </w:rPr>
      </w:pPr>
      <w:r w:rsidRPr="001E1D0D">
        <w:rPr>
          <w:sz w:val="24"/>
          <w:szCs w:val="24"/>
        </w:rPr>
        <w:t>Misleading use of the borrower’s current lender’s name in an advertisement that is not sent by or on behalf of the consumer’s current lender.</w:t>
      </w:r>
    </w:p>
    <w:p w:rsidR="007A6DA8" w:rsidRDefault="001E1D0D" w:rsidP="005212C7">
      <w:pPr>
        <w:pStyle w:val="ListParagraph"/>
        <w:numPr>
          <w:ilvl w:val="0"/>
          <w:numId w:val="44"/>
        </w:numPr>
        <w:autoSpaceDE w:val="0"/>
        <w:autoSpaceDN w:val="0"/>
        <w:adjustRightInd w:val="0"/>
        <w:ind w:right="1170"/>
        <w:jc w:val="both"/>
        <w:rPr>
          <w:sz w:val="24"/>
          <w:szCs w:val="24"/>
        </w:rPr>
      </w:pPr>
      <w:r w:rsidRPr="001E1D0D">
        <w:rPr>
          <w:sz w:val="24"/>
          <w:szCs w:val="24"/>
        </w:rPr>
        <w:t xml:space="preserve">Misleading use of the term </w:t>
      </w:r>
      <w:r w:rsidR="004D5099">
        <w:rPr>
          <w:sz w:val="24"/>
          <w:szCs w:val="24"/>
        </w:rPr>
        <w:t>‘</w:t>
      </w:r>
      <w:r w:rsidRPr="001E1D0D">
        <w:rPr>
          <w:sz w:val="24"/>
          <w:szCs w:val="24"/>
        </w:rPr>
        <w:t>counselor</w:t>
      </w:r>
      <w:r w:rsidR="004D5099">
        <w:rPr>
          <w:sz w:val="24"/>
          <w:szCs w:val="24"/>
        </w:rPr>
        <w:t>’</w:t>
      </w:r>
      <w:r w:rsidR="004D5099" w:rsidRPr="001E1D0D">
        <w:rPr>
          <w:sz w:val="24"/>
          <w:szCs w:val="24"/>
        </w:rPr>
        <w:t xml:space="preserve"> </w:t>
      </w:r>
      <w:r w:rsidRPr="001E1D0D">
        <w:rPr>
          <w:sz w:val="24"/>
          <w:szCs w:val="24"/>
        </w:rPr>
        <w:t xml:space="preserve">when using the term </w:t>
      </w:r>
      <w:r w:rsidR="004D5099">
        <w:rPr>
          <w:sz w:val="24"/>
          <w:szCs w:val="24"/>
        </w:rPr>
        <w:t>‘</w:t>
      </w:r>
      <w:r w:rsidR="004D5099" w:rsidRPr="001E1D0D">
        <w:rPr>
          <w:sz w:val="24"/>
          <w:szCs w:val="24"/>
        </w:rPr>
        <w:t>counselor</w:t>
      </w:r>
      <w:r w:rsidR="004D5099">
        <w:rPr>
          <w:sz w:val="24"/>
          <w:szCs w:val="24"/>
        </w:rPr>
        <w:t>’</w:t>
      </w:r>
      <w:r w:rsidR="004D5099" w:rsidRPr="001E1D0D">
        <w:rPr>
          <w:sz w:val="24"/>
          <w:szCs w:val="24"/>
        </w:rPr>
        <w:t xml:space="preserve"> </w:t>
      </w:r>
      <w:r w:rsidRPr="001E1D0D">
        <w:rPr>
          <w:sz w:val="24"/>
          <w:szCs w:val="24"/>
        </w:rPr>
        <w:t>in an advertisement to refer to a for-profit mortgage broker or mortgage creditor, its employees, or persons working for the broker or creditor that are involved in offering, originating or selling mortgages.</w:t>
      </w:r>
    </w:p>
    <w:p w:rsidR="005641E7" w:rsidRDefault="005641E7" w:rsidP="005641E7">
      <w:pPr>
        <w:autoSpaceDE w:val="0"/>
        <w:autoSpaceDN w:val="0"/>
        <w:adjustRightInd w:val="0"/>
        <w:ind w:right="1170"/>
        <w:jc w:val="both"/>
        <w:rPr>
          <w:sz w:val="24"/>
          <w:szCs w:val="24"/>
        </w:rPr>
      </w:pPr>
    </w:p>
    <w:p w:rsidR="005641E7" w:rsidRPr="005641E7" w:rsidRDefault="005641E7" w:rsidP="00F63060">
      <w:pPr>
        <w:pStyle w:val="Heading2"/>
      </w:pPr>
      <w:r w:rsidRPr="005641E7">
        <w:t xml:space="preserve"> </w:t>
      </w:r>
      <w:bookmarkStart w:id="26" w:name="_Toc393811641"/>
      <w:r w:rsidRPr="005641E7">
        <w:t>Enforcement (Part 108 of Consumer Protection Act)</w:t>
      </w:r>
      <w:bookmarkEnd w:id="26"/>
    </w:p>
    <w:p w:rsidR="005641E7" w:rsidRPr="005641E7" w:rsidRDefault="005641E7" w:rsidP="005641E7">
      <w:pPr>
        <w:autoSpaceDE w:val="0"/>
        <w:autoSpaceDN w:val="0"/>
        <w:adjustRightInd w:val="0"/>
        <w:ind w:right="1170"/>
        <w:jc w:val="both"/>
        <w:rPr>
          <w:sz w:val="24"/>
          <w:szCs w:val="24"/>
        </w:rPr>
      </w:pPr>
    </w:p>
    <w:p w:rsidR="005641E7" w:rsidRDefault="005641E7" w:rsidP="005641E7">
      <w:pPr>
        <w:autoSpaceDE w:val="0"/>
        <w:autoSpaceDN w:val="0"/>
        <w:adjustRightInd w:val="0"/>
        <w:ind w:left="1083" w:right="1170"/>
        <w:jc w:val="both"/>
        <w:rPr>
          <w:sz w:val="24"/>
          <w:szCs w:val="24"/>
        </w:rPr>
      </w:pPr>
      <w:r w:rsidRPr="005641E7">
        <w:rPr>
          <w:sz w:val="24"/>
          <w:szCs w:val="24"/>
        </w:rPr>
        <w:t xml:space="preserve">TILA rules are generally enforced by the FTC.  The FTC has the authority to conduct investigations, file administrative complaints and issue cease and </w:t>
      </w:r>
      <w:proofErr w:type="gramStart"/>
      <w:r w:rsidRPr="005641E7">
        <w:rPr>
          <w:sz w:val="24"/>
          <w:szCs w:val="24"/>
        </w:rPr>
        <w:t>desist</w:t>
      </w:r>
      <w:proofErr w:type="gramEnd"/>
      <w:r w:rsidRPr="005641E7">
        <w:rPr>
          <w:sz w:val="24"/>
          <w:szCs w:val="24"/>
        </w:rPr>
        <w:t xml:space="preserve"> orders against people who violate TILA </w:t>
      </w:r>
      <w:r w:rsidR="006E6C4A">
        <w:rPr>
          <w:sz w:val="24"/>
          <w:szCs w:val="24"/>
        </w:rPr>
        <w:t xml:space="preserve">or </w:t>
      </w:r>
      <w:r w:rsidRPr="005641E7">
        <w:rPr>
          <w:sz w:val="24"/>
          <w:szCs w:val="24"/>
        </w:rPr>
        <w:t xml:space="preserve">Regulation Z.  They can impose civil penalties of up to $10,000 per violation per day on any person who violates a cease and </w:t>
      </w:r>
      <w:proofErr w:type="gramStart"/>
      <w:r w:rsidRPr="005641E7">
        <w:rPr>
          <w:sz w:val="24"/>
          <w:szCs w:val="24"/>
        </w:rPr>
        <w:t>desist</w:t>
      </w:r>
      <w:proofErr w:type="gramEnd"/>
      <w:r w:rsidRPr="005641E7">
        <w:rPr>
          <w:sz w:val="24"/>
          <w:szCs w:val="24"/>
        </w:rPr>
        <w:t xml:space="preserve"> order.</w:t>
      </w:r>
    </w:p>
    <w:p w:rsidR="005641E7" w:rsidRPr="005641E7" w:rsidRDefault="005641E7" w:rsidP="005641E7">
      <w:pPr>
        <w:autoSpaceDE w:val="0"/>
        <w:autoSpaceDN w:val="0"/>
        <w:adjustRightInd w:val="0"/>
        <w:ind w:left="1083" w:right="1170"/>
        <w:jc w:val="both"/>
        <w:rPr>
          <w:sz w:val="24"/>
          <w:szCs w:val="24"/>
        </w:rPr>
      </w:pPr>
    </w:p>
    <w:p w:rsidR="005641E7" w:rsidRDefault="005641E7" w:rsidP="005641E7">
      <w:pPr>
        <w:autoSpaceDE w:val="0"/>
        <w:autoSpaceDN w:val="0"/>
        <w:adjustRightInd w:val="0"/>
        <w:ind w:left="1083" w:right="1170"/>
        <w:jc w:val="both"/>
        <w:rPr>
          <w:sz w:val="24"/>
          <w:szCs w:val="24"/>
        </w:rPr>
      </w:pPr>
      <w:r w:rsidRPr="005641E7">
        <w:rPr>
          <w:sz w:val="24"/>
          <w:szCs w:val="24"/>
        </w:rPr>
        <w:t xml:space="preserve">For more details on federal enforcement, refer to Subpart B, </w:t>
      </w:r>
      <w:r w:rsidR="00F623A5">
        <w:rPr>
          <w:sz w:val="24"/>
          <w:szCs w:val="24"/>
        </w:rPr>
        <w:t>1026</w:t>
      </w:r>
      <w:r w:rsidRPr="005641E7">
        <w:rPr>
          <w:sz w:val="24"/>
          <w:szCs w:val="24"/>
        </w:rPr>
        <w:t xml:space="preserve">.16 for advertising requirements for open-end credit and Subpart C, </w:t>
      </w:r>
      <w:r w:rsidR="00D659C4">
        <w:rPr>
          <w:sz w:val="24"/>
          <w:szCs w:val="24"/>
        </w:rPr>
        <w:t>1026.24</w:t>
      </w:r>
      <w:r w:rsidR="006E6C4A">
        <w:rPr>
          <w:sz w:val="24"/>
          <w:szCs w:val="24"/>
        </w:rPr>
        <w:t xml:space="preserve"> </w:t>
      </w:r>
      <w:r w:rsidRPr="005641E7">
        <w:rPr>
          <w:sz w:val="24"/>
          <w:szCs w:val="24"/>
        </w:rPr>
        <w:t>for requirements for closed-end credit.</w:t>
      </w:r>
    </w:p>
    <w:p w:rsidR="005641E7" w:rsidRPr="005641E7" w:rsidRDefault="005641E7" w:rsidP="005641E7">
      <w:pPr>
        <w:autoSpaceDE w:val="0"/>
        <w:autoSpaceDN w:val="0"/>
        <w:adjustRightInd w:val="0"/>
        <w:ind w:left="1083" w:right="1170"/>
        <w:jc w:val="both"/>
        <w:rPr>
          <w:sz w:val="24"/>
          <w:szCs w:val="24"/>
        </w:rPr>
      </w:pPr>
    </w:p>
    <w:p w:rsidR="005641E7" w:rsidRDefault="005641E7" w:rsidP="005641E7">
      <w:pPr>
        <w:autoSpaceDE w:val="0"/>
        <w:autoSpaceDN w:val="0"/>
        <w:adjustRightInd w:val="0"/>
        <w:ind w:left="1083" w:right="1170"/>
        <w:jc w:val="both"/>
        <w:rPr>
          <w:sz w:val="24"/>
          <w:szCs w:val="24"/>
        </w:rPr>
      </w:pPr>
      <w:r w:rsidRPr="005641E7">
        <w:rPr>
          <w:sz w:val="24"/>
          <w:szCs w:val="24"/>
        </w:rPr>
        <w:t>Keep in mind that state regulatory agencies may also enforce advertising and other regulations of the federal Truth in Lending Act based on the individual state’s law.</w:t>
      </w:r>
    </w:p>
    <w:p w:rsidR="003C5719" w:rsidRDefault="003C5719" w:rsidP="005641E7">
      <w:pPr>
        <w:autoSpaceDE w:val="0"/>
        <w:autoSpaceDN w:val="0"/>
        <w:adjustRightInd w:val="0"/>
        <w:ind w:left="1083" w:right="1170"/>
        <w:jc w:val="both"/>
        <w:rPr>
          <w:sz w:val="24"/>
          <w:szCs w:val="24"/>
        </w:rPr>
      </w:pPr>
    </w:p>
    <w:p w:rsidR="00321002" w:rsidRDefault="00321002" w:rsidP="005641E7">
      <w:pPr>
        <w:autoSpaceDE w:val="0"/>
        <w:autoSpaceDN w:val="0"/>
        <w:adjustRightInd w:val="0"/>
        <w:ind w:left="1083" w:right="1170"/>
        <w:jc w:val="both"/>
        <w:rPr>
          <w:sz w:val="24"/>
          <w:szCs w:val="24"/>
        </w:rPr>
        <w:sectPr w:rsidR="00321002" w:rsidSect="00491C63">
          <w:headerReference w:type="default" r:id="rId29"/>
          <w:pgSz w:w="12240" w:h="15840"/>
          <w:pgMar w:top="1440" w:right="720" w:bottom="1440" w:left="720" w:header="720" w:footer="720" w:gutter="0"/>
          <w:cols w:space="720"/>
          <w:docGrid w:linePitch="360"/>
        </w:sectPr>
      </w:pPr>
    </w:p>
    <w:p w:rsidR="00D96EAC" w:rsidRDefault="00D96EAC" w:rsidP="00E125EA">
      <w:pPr>
        <w:pStyle w:val="Heading1"/>
      </w:pPr>
      <w:bookmarkStart w:id="27" w:name="_Toc393811642"/>
      <w:r>
        <w:lastRenderedPageBreak/>
        <w:t>Additional Key TILA Rules</w:t>
      </w:r>
      <w:bookmarkEnd w:id="27"/>
    </w:p>
    <w:p w:rsidR="000E1709" w:rsidRDefault="00936F1B" w:rsidP="005212C7">
      <w:pPr>
        <w:pStyle w:val="Heading2"/>
        <w:numPr>
          <w:ilvl w:val="0"/>
          <w:numId w:val="67"/>
        </w:numPr>
      </w:pPr>
      <w:bookmarkStart w:id="28" w:name="_Toc393105026"/>
      <w:bookmarkStart w:id="29" w:name="_Toc393105318"/>
      <w:bookmarkStart w:id="30" w:name="_Toc393105389"/>
      <w:bookmarkStart w:id="31" w:name="_Toc393104952"/>
      <w:bookmarkStart w:id="32" w:name="_Toc393105027"/>
      <w:bookmarkStart w:id="33" w:name="_Toc393105319"/>
      <w:bookmarkStart w:id="34" w:name="_Toc393105390"/>
      <w:bookmarkStart w:id="35" w:name="_Toc393104953"/>
      <w:bookmarkStart w:id="36" w:name="_Toc393105028"/>
      <w:bookmarkStart w:id="37" w:name="_Toc393105320"/>
      <w:bookmarkStart w:id="38" w:name="_Toc393105391"/>
      <w:bookmarkStart w:id="39" w:name="_Toc393104954"/>
      <w:bookmarkStart w:id="40" w:name="_Toc393105029"/>
      <w:bookmarkStart w:id="41" w:name="_Toc393105321"/>
      <w:bookmarkStart w:id="42" w:name="_Toc393105392"/>
      <w:bookmarkStart w:id="43" w:name="_Toc393104955"/>
      <w:bookmarkStart w:id="44" w:name="_Toc393105030"/>
      <w:bookmarkStart w:id="45" w:name="_Toc393105322"/>
      <w:bookmarkStart w:id="46" w:name="_Toc393105393"/>
      <w:bookmarkStart w:id="47" w:name="_Toc393104956"/>
      <w:bookmarkStart w:id="48" w:name="_Toc393105031"/>
      <w:bookmarkStart w:id="49" w:name="_Toc393105323"/>
      <w:bookmarkStart w:id="50" w:name="_Toc393105394"/>
      <w:bookmarkStart w:id="51" w:name="_Toc393104957"/>
      <w:bookmarkStart w:id="52" w:name="_Toc393105032"/>
      <w:bookmarkStart w:id="53" w:name="_Toc393105324"/>
      <w:bookmarkStart w:id="54" w:name="_Toc393105395"/>
      <w:bookmarkStart w:id="55" w:name="_Toc393104958"/>
      <w:bookmarkStart w:id="56" w:name="_Toc393105033"/>
      <w:bookmarkStart w:id="57" w:name="_Toc393105325"/>
      <w:bookmarkStart w:id="58" w:name="_Toc393105396"/>
      <w:bookmarkStart w:id="59" w:name="_Toc393104959"/>
      <w:bookmarkStart w:id="60" w:name="_Toc393105034"/>
      <w:bookmarkStart w:id="61" w:name="_Toc393105326"/>
      <w:bookmarkStart w:id="62" w:name="_Toc393105397"/>
      <w:bookmarkStart w:id="63" w:name="_Toc393104960"/>
      <w:bookmarkStart w:id="64" w:name="_Toc393105035"/>
      <w:bookmarkStart w:id="65" w:name="_Toc393105327"/>
      <w:bookmarkStart w:id="66" w:name="_Toc393105398"/>
      <w:bookmarkStart w:id="67" w:name="_Toc393104961"/>
      <w:bookmarkStart w:id="68" w:name="_Toc393105036"/>
      <w:bookmarkStart w:id="69" w:name="_Toc393105328"/>
      <w:bookmarkStart w:id="70" w:name="_Toc393105399"/>
      <w:bookmarkStart w:id="71" w:name="_Toc393104962"/>
      <w:bookmarkStart w:id="72" w:name="_Toc393105037"/>
      <w:bookmarkStart w:id="73" w:name="_Toc393105329"/>
      <w:bookmarkStart w:id="74" w:name="_Toc393105400"/>
      <w:bookmarkStart w:id="75" w:name="_Toc393104963"/>
      <w:bookmarkStart w:id="76" w:name="_Toc393105038"/>
      <w:bookmarkStart w:id="77" w:name="_Toc393105330"/>
      <w:bookmarkStart w:id="78" w:name="_Toc393105401"/>
      <w:bookmarkStart w:id="79" w:name="_Toc393104964"/>
      <w:bookmarkStart w:id="80" w:name="_Toc393105039"/>
      <w:bookmarkStart w:id="81" w:name="_Toc393105331"/>
      <w:bookmarkStart w:id="82" w:name="_Toc393105402"/>
      <w:bookmarkStart w:id="83" w:name="_Toc393104965"/>
      <w:bookmarkStart w:id="84" w:name="_Toc393105040"/>
      <w:bookmarkStart w:id="85" w:name="_Toc393105332"/>
      <w:bookmarkStart w:id="86" w:name="_Toc393105403"/>
      <w:bookmarkStart w:id="87" w:name="_Toc393104966"/>
      <w:bookmarkStart w:id="88" w:name="_Toc393105041"/>
      <w:bookmarkStart w:id="89" w:name="_Toc393105333"/>
      <w:bookmarkStart w:id="90" w:name="_Toc393105404"/>
      <w:bookmarkStart w:id="91" w:name="_Toc393104967"/>
      <w:bookmarkStart w:id="92" w:name="_Toc393105042"/>
      <w:bookmarkStart w:id="93" w:name="_Toc393105334"/>
      <w:bookmarkStart w:id="94" w:name="_Toc393105405"/>
      <w:bookmarkStart w:id="95" w:name="_Toc393104968"/>
      <w:bookmarkStart w:id="96" w:name="_Toc393105043"/>
      <w:bookmarkStart w:id="97" w:name="_Toc393105335"/>
      <w:bookmarkStart w:id="98" w:name="_Toc393105406"/>
      <w:bookmarkStart w:id="99" w:name="_Toc393104969"/>
      <w:bookmarkStart w:id="100" w:name="_Toc393105044"/>
      <w:bookmarkStart w:id="101" w:name="_Toc393105336"/>
      <w:bookmarkStart w:id="102" w:name="_Toc393105407"/>
      <w:bookmarkStart w:id="103" w:name="_Toc393104970"/>
      <w:bookmarkStart w:id="104" w:name="_Toc393105045"/>
      <w:bookmarkStart w:id="105" w:name="_Toc393105337"/>
      <w:bookmarkStart w:id="106" w:name="_Toc393105408"/>
      <w:bookmarkStart w:id="107" w:name="_Toc393104971"/>
      <w:bookmarkStart w:id="108" w:name="_Toc393105046"/>
      <w:bookmarkStart w:id="109" w:name="_Toc393105338"/>
      <w:bookmarkStart w:id="110" w:name="_Toc393105409"/>
      <w:bookmarkStart w:id="111" w:name="_Toc393104972"/>
      <w:bookmarkStart w:id="112" w:name="_Toc393105047"/>
      <w:bookmarkStart w:id="113" w:name="_Toc393105339"/>
      <w:bookmarkStart w:id="114" w:name="_Toc393105410"/>
      <w:bookmarkStart w:id="115" w:name="_Toc393104973"/>
      <w:bookmarkStart w:id="116" w:name="_Toc393105048"/>
      <w:bookmarkStart w:id="117" w:name="_Toc393105340"/>
      <w:bookmarkStart w:id="118" w:name="_Toc393105411"/>
      <w:bookmarkStart w:id="119" w:name="_Toc393104974"/>
      <w:bookmarkStart w:id="120" w:name="_Toc393105049"/>
      <w:bookmarkStart w:id="121" w:name="_Toc393105341"/>
      <w:bookmarkStart w:id="122" w:name="_Toc393105412"/>
      <w:bookmarkStart w:id="123" w:name="_Toc393104975"/>
      <w:bookmarkStart w:id="124" w:name="_Toc393105050"/>
      <w:bookmarkStart w:id="125" w:name="_Toc393105342"/>
      <w:bookmarkStart w:id="126" w:name="_Toc393105413"/>
      <w:bookmarkStart w:id="127" w:name="_Toc393104976"/>
      <w:bookmarkStart w:id="128" w:name="_Toc393105051"/>
      <w:bookmarkStart w:id="129" w:name="_Toc393105343"/>
      <w:bookmarkStart w:id="130" w:name="_Toc393105414"/>
      <w:bookmarkStart w:id="131" w:name="_Toc393104977"/>
      <w:bookmarkStart w:id="132" w:name="_Toc393105052"/>
      <w:bookmarkStart w:id="133" w:name="_Toc393105344"/>
      <w:bookmarkStart w:id="134" w:name="_Toc393105415"/>
      <w:bookmarkStart w:id="135" w:name="_Toc393104978"/>
      <w:bookmarkStart w:id="136" w:name="_Toc393105053"/>
      <w:bookmarkStart w:id="137" w:name="_Toc393105345"/>
      <w:bookmarkStart w:id="138" w:name="_Toc393105416"/>
      <w:bookmarkStart w:id="139" w:name="_Toc393104979"/>
      <w:bookmarkStart w:id="140" w:name="_Toc393105054"/>
      <w:bookmarkStart w:id="141" w:name="_Toc393105346"/>
      <w:bookmarkStart w:id="142" w:name="_Toc39310541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r w:rsidRPr="00936F1B">
        <w:rPr>
          <w:sz w:val="24"/>
          <w:szCs w:val="24"/>
        </w:rPr>
        <w:t xml:space="preserve">   </w:t>
      </w:r>
      <w:bookmarkStart w:id="143" w:name="_Toc393104980"/>
      <w:bookmarkStart w:id="144" w:name="_Toc393105055"/>
      <w:bookmarkStart w:id="145" w:name="_Toc393105347"/>
      <w:bookmarkStart w:id="146" w:name="_Toc393105418"/>
      <w:bookmarkStart w:id="147" w:name="_Toc349130453"/>
      <w:bookmarkStart w:id="148" w:name="_Toc393811643"/>
      <w:bookmarkEnd w:id="143"/>
      <w:bookmarkEnd w:id="144"/>
      <w:bookmarkEnd w:id="145"/>
      <w:bookmarkEnd w:id="146"/>
      <w:r w:rsidR="00657BA9" w:rsidRPr="00657BA9">
        <w:t>Ability-to-Repay</w:t>
      </w:r>
      <w:bookmarkEnd w:id="147"/>
      <w:bookmarkEnd w:id="148"/>
    </w:p>
    <w:p w:rsidR="000E1709" w:rsidRDefault="00657BA9">
      <w:pPr>
        <w:ind w:left="1080" w:right="1166"/>
        <w:jc w:val="both"/>
        <w:rPr>
          <w:rFonts w:asciiTheme="minorHAnsi" w:hAnsiTheme="minorHAnsi"/>
          <w:sz w:val="24"/>
          <w:szCs w:val="24"/>
        </w:rPr>
      </w:pPr>
      <w:r w:rsidRPr="00657BA9">
        <w:rPr>
          <w:rFonts w:asciiTheme="minorHAnsi" w:hAnsiTheme="minorHAnsi"/>
          <w:sz w:val="24"/>
          <w:szCs w:val="24"/>
        </w:rPr>
        <w:t xml:space="preserve">As a Mortgage Originator you have a moral, ethical and legal responsibility to your borrower to help them understand how much mortgage they can afford and that they have a reasonable ability to repay.  Doing this with every borrower helps you to be a more professional and trusted mortgage originator.  To this end the Consumer Financial Protection Bureau has enacted rules to ensure creditors and lenders obtain and verify information that will help them determine if the borrower can repay the mortgage loan and other mortgage related obligations. </w:t>
      </w:r>
    </w:p>
    <w:p w:rsidR="000E1709" w:rsidRDefault="000E1709">
      <w:pPr>
        <w:ind w:left="1080" w:right="1166"/>
        <w:jc w:val="both"/>
        <w:rPr>
          <w:rFonts w:asciiTheme="minorHAnsi" w:hAnsiTheme="minorHAnsi"/>
          <w:sz w:val="24"/>
          <w:szCs w:val="24"/>
        </w:rPr>
      </w:pPr>
    </w:p>
    <w:p w:rsidR="000E1709" w:rsidRDefault="00657BA9">
      <w:pPr>
        <w:ind w:left="1080" w:right="1166"/>
        <w:jc w:val="both"/>
        <w:rPr>
          <w:rFonts w:asciiTheme="minorHAnsi" w:hAnsiTheme="minorHAnsi"/>
          <w:sz w:val="24"/>
          <w:szCs w:val="24"/>
        </w:rPr>
      </w:pPr>
      <w:r w:rsidRPr="00657BA9">
        <w:rPr>
          <w:rFonts w:asciiTheme="minorHAnsi" w:hAnsiTheme="minorHAnsi"/>
          <w:sz w:val="24"/>
          <w:szCs w:val="24"/>
        </w:rPr>
        <w:t>These rules amend Regulation Z, which implements the Truth in Lending Act (TILA) and implements “sections 1411 and 1412 of the Dodd-Frank Wall Street Reform and Consumer Protection Act (Dodd-Frank Act), which generally require creditors to make a reasonable, good faith determination of a consumer’s ability to repay any consumer credit transaction secured by a dwelling (excluding an open-end credit plan, timeshare plan, reverse mortgage, or temporary loan)” and will be effective January 10, 2014</w:t>
      </w:r>
      <w:r w:rsidR="00340574">
        <w:rPr>
          <w:rFonts w:asciiTheme="minorHAnsi" w:hAnsiTheme="minorHAnsi"/>
          <w:sz w:val="24"/>
          <w:szCs w:val="24"/>
        </w:rPr>
        <w:t>.</w:t>
      </w:r>
      <w:r w:rsidRPr="00657BA9">
        <w:rPr>
          <w:rFonts w:asciiTheme="minorHAnsi" w:hAnsiTheme="minorHAnsi"/>
          <w:sz w:val="24"/>
          <w:szCs w:val="24"/>
        </w:rPr>
        <w:t xml:space="preserve">  </w:t>
      </w:r>
    </w:p>
    <w:p w:rsidR="000E1709" w:rsidRDefault="000E1709">
      <w:pPr>
        <w:ind w:left="1080" w:right="1166"/>
        <w:jc w:val="both"/>
        <w:rPr>
          <w:rFonts w:asciiTheme="minorHAnsi" w:hAnsiTheme="minorHAnsi"/>
          <w:sz w:val="24"/>
          <w:szCs w:val="24"/>
        </w:rPr>
      </w:pPr>
    </w:p>
    <w:p w:rsidR="00D96EAC" w:rsidRDefault="00657BA9" w:rsidP="00D96EAC">
      <w:pPr>
        <w:pStyle w:val="Heading3"/>
      </w:pPr>
      <w:r w:rsidRPr="00657BA9">
        <w:t>Ability to Repay Determination</w:t>
      </w:r>
    </w:p>
    <w:p w:rsidR="000E1709" w:rsidRDefault="00657BA9">
      <w:pPr>
        <w:ind w:left="1080" w:right="1166"/>
        <w:jc w:val="both"/>
        <w:rPr>
          <w:rFonts w:asciiTheme="minorHAnsi" w:hAnsiTheme="minorHAnsi"/>
          <w:sz w:val="24"/>
          <w:szCs w:val="24"/>
        </w:rPr>
      </w:pPr>
      <w:r w:rsidRPr="00657BA9">
        <w:rPr>
          <w:rFonts w:asciiTheme="minorHAnsi" w:hAnsiTheme="minorHAnsi"/>
          <w:sz w:val="24"/>
          <w:szCs w:val="24"/>
        </w:rPr>
        <w:t>Under the Ability-to-Repay Rule, there are certain requirements lenders will have to follow to determine the ability of a borrower to repay the mortgage, both principal and interest over the long term. It does not set particular underwriting models but requires an underwriter, mortgage originator, creditor or lender to review and verify financial documents and records.  At a minimum, a lender must consider these eight underwriting standards:</w:t>
      </w:r>
    </w:p>
    <w:p w:rsidR="000E1709" w:rsidRDefault="00657BA9" w:rsidP="005212C7">
      <w:pPr>
        <w:pStyle w:val="ListParagraph"/>
        <w:numPr>
          <w:ilvl w:val="0"/>
          <w:numId w:val="62"/>
        </w:numPr>
        <w:autoSpaceDE w:val="0"/>
        <w:autoSpaceDN w:val="0"/>
        <w:adjustRightInd w:val="0"/>
        <w:spacing w:after="200" w:line="264" w:lineRule="auto"/>
        <w:ind w:right="1166"/>
        <w:jc w:val="both"/>
        <w:rPr>
          <w:rFonts w:asciiTheme="minorHAnsi" w:hAnsiTheme="minorHAnsi"/>
          <w:sz w:val="24"/>
          <w:szCs w:val="24"/>
        </w:rPr>
      </w:pPr>
      <w:r w:rsidRPr="00657BA9">
        <w:rPr>
          <w:rFonts w:asciiTheme="minorHAnsi" w:hAnsiTheme="minorHAnsi"/>
          <w:sz w:val="24"/>
          <w:szCs w:val="24"/>
        </w:rPr>
        <w:t xml:space="preserve">Current income or assets </w:t>
      </w:r>
    </w:p>
    <w:p w:rsidR="000E1709" w:rsidRDefault="00657BA9" w:rsidP="005212C7">
      <w:pPr>
        <w:pStyle w:val="ListParagraph"/>
        <w:numPr>
          <w:ilvl w:val="0"/>
          <w:numId w:val="62"/>
        </w:numPr>
        <w:autoSpaceDE w:val="0"/>
        <w:autoSpaceDN w:val="0"/>
        <w:adjustRightInd w:val="0"/>
        <w:spacing w:after="200" w:line="264" w:lineRule="auto"/>
        <w:ind w:right="1166"/>
        <w:jc w:val="both"/>
        <w:rPr>
          <w:rFonts w:asciiTheme="minorHAnsi" w:hAnsiTheme="minorHAnsi"/>
          <w:sz w:val="24"/>
          <w:szCs w:val="24"/>
        </w:rPr>
      </w:pPr>
      <w:r w:rsidRPr="00657BA9">
        <w:rPr>
          <w:rFonts w:asciiTheme="minorHAnsi" w:hAnsiTheme="minorHAnsi"/>
          <w:sz w:val="24"/>
          <w:szCs w:val="24"/>
        </w:rPr>
        <w:t xml:space="preserve">Current employment status </w:t>
      </w:r>
    </w:p>
    <w:p w:rsidR="000E1709" w:rsidRDefault="00657BA9" w:rsidP="005212C7">
      <w:pPr>
        <w:pStyle w:val="ListParagraph"/>
        <w:numPr>
          <w:ilvl w:val="0"/>
          <w:numId w:val="62"/>
        </w:numPr>
        <w:autoSpaceDE w:val="0"/>
        <w:autoSpaceDN w:val="0"/>
        <w:adjustRightInd w:val="0"/>
        <w:spacing w:after="200" w:line="264" w:lineRule="auto"/>
        <w:ind w:right="1166"/>
        <w:jc w:val="both"/>
        <w:rPr>
          <w:rFonts w:asciiTheme="minorHAnsi" w:hAnsiTheme="minorHAnsi"/>
          <w:sz w:val="24"/>
          <w:szCs w:val="24"/>
        </w:rPr>
      </w:pPr>
      <w:r w:rsidRPr="00657BA9">
        <w:rPr>
          <w:rFonts w:asciiTheme="minorHAnsi" w:hAnsiTheme="minorHAnsi"/>
          <w:sz w:val="24"/>
          <w:szCs w:val="24"/>
        </w:rPr>
        <w:t xml:space="preserve">Credit history </w:t>
      </w:r>
    </w:p>
    <w:p w:rsidR="000E1709" w:rsidRDefault="00657BA9" w:rsidP="005212C7">
      <w:pPr>
        <w:pStyle w:val="ListParagraph"/>
        <w:numPr>
          <w:ilvl w:val="0"/>
          <w:numId w:val="62"/>
        </w:numPr>
        <w:autoSpaceDE w:val="0"/>
        <w:autoSpaceDN w:val="0"/>
        <w:adjustRightInd w:val="0"/>
        <w:spacing w:after="200" w:line="264" w:lineRule="auto"/>
        <w:ind w:right="1166"/>
        <w:jc w:val="both"/>
        <w:rPr>
          <w:rFonts w:asciiTheme="minorHAnsi" w:hAnsiTheme="minorHAnsi"/>
          <w:sz w:val="24"/>
          <w:szCs w:val="24"/>
        </w:rPr>
      </w:pPr>
      <w:r w:rsidRPr="00657BA9">
        <w:rPr>
          <w:rFonts w:asciiTheme="minorHAnsi" w:hAnsiTheme="minorHAnsi"/>
          <w:sz w:val="24"/>
          <w:szCs w:val="24"/>
        </w:rPr>
        <w:t xml:space="preserve">The monthly payment for the mortgage </w:t>
      </w:r>
    </w:p>
    <w:p w:rsidR="000E1709" w:rsidRDefault="00657BA9" w:rsidP="005212C7">
      <w:pPr>
        <w:pStyle w:val="ListParagraph"/>
        <w:numPr>
          <w:ilvl w:val="0"/>
          <w:numId w:val="62"/>
        </w:numPr>
        <w:autoSpaceDE w:val="0"/>
        <w:autoSpaceDN w:val="0"/>
        <w:adjustRightInd w:val="0"/>
        <w:spacing w:after="200" w:line="264" w:lineRule="auto"/>
        <w:ind w:right="1166"/>
        <w:jc w:val="both"/>
        <w:rPr>
          <w:rFonts w:asciiTheme="minorHAnsi" w:hAnsiTheme="minorHAnsi"/>
          <w:sz w:val="24"/>
          <w:szCs w:val="24"/>
        </w:rPr>
      </w:pPr>
      <w:r w:rsidRPr="00657BA9">
        <w:rPr>
          <w:rFonts w:asciiTheme="minorHAnsi" w:hAnsiTheme="minorHAnsi"/>
          <w:sz w:val="24"/>
          <w:szCs w:val="24"/>
        </w:rPr>
        <w:t xml:space="preserve">The monthly payments on any other loans associated with the property </w:t>
      </w:r>
    </w:p>
    <w:p w:rsidR="000E1709" w:rsidRDefault="00657BA9" w:rsidP="005212C7">
      <w:pPr>
        <w:pStyle w:val="ListParagraph"/>
        <w:numPr>
          <w:ilvl w:val="0"/>
          <w:numId w:val="62"/>
        </w:numPr>
        <w:autoSpaceDE w:val="0"/>
        <w:autoSpaceDN w:val="0"/>
        <w:adjustRightInd w:val="0"/>
        <w:spacing w:after="200" w:line="264" w:lineRule="auto"/>
        <w:ind w:right="1166"/>
        <w:jc w:val="both"/>
        <w:rPr>
          <w:rFonts w:asciiTheme="minorHAnsi" w:hAnsiTheme="minorHAnsi"/>
          <w:sz w:val="24"/>
          <w:szCs w:val="24"/>
        </w:rPr>
      </w:pPr>
      <w:r w:rsidRPr="00657BA9">
        <w:rPr>
          <w:rFonts w:asciiTheme="minorHAnsi" w:hAnsiTheme="minorHAnsi"/>
          <w:sz w:val="24"/>
          <w:szCs w:val="24"/>
        </w:rPr>
        <w:t xml:space="preserve">The monthly payment for other mortgage related obligations (such as property taxes) </w:t>
      </w:r>
    </w:p>
    <w:p w:rsidR="000E1709" w:rsidRDefault="00657BA9" w:rsidP="005212C7">
      <w:pPr>
        <w:pStyle w:val="ListParagraph"/>
        <w:numPr>
          <w:ilvl w:val="0"/>
          <w:numId w:val="62"/>
        </w:numPr>
        <w:autoSpaceDE w:val="0"/>
        <w:autoSpaceDN w:val="0"/>
        <w:adjustRightInd w:val="0"/>
        <w:spacing w:after="200" w:line="264" w:lineRule="auto"/>
        <w:ind w:right="1166"/>
        <w:jc w:val="both"/>
        <w:rPr>
          <w:rFonts w:asciiTheme="minorHAnsi" w:hAnsiTheme="minorHAnsi"/>
          <w:sz w:val="24"/>
          <w:szCs w:val="24"/>
        </w:rPr>
      </w:pPr>
      <w:r w:rsidRPr="00657BA9">
        <w:rPr>
          <w:rFonts w:asciiTheme="minorHAnsi" w:hAnsiTheme="minorHAnsi"/>
          <w:sz w:val="24"/>
          <w:szCs w:val="24"/>
        </w:rPr>
        <w:t xml:space="preserve">Other debt obligations; including Alimony and Child Support and  </w:t>
      </w:r>
    </w:p>
    <w:p w:rsidR="000E1709" w:rsidRDefault="00657BA9" w:rsidP="005212C7">
      <w:pPr>
        <w:pStyle w:val="ListParagraph"/>
        <w:numPr>
          <w:ilvl w:val="0"/>
          <w:numId w:val="62"/>
        </w:numPr>
        <w:autoSpaceDE w:val="0"/>
        <w:autoSpaceDN w:val="0"/>
        <w:adjustRightInd w:val="0"/>
        <w:spacing w:after="200" w:line="264" w:lineRule="auto"/>
        <w:ind w:right="1166"/>
        <w:jc w:val="both"/>
        <w:rPr>
          <w:rFonts w:asciiTheme="minorHAnsi" w:hAnsiTheme="minorHAnsi"/>
          <w:sz w:val="24"/>
          <w:szCs w:val="24"/>
        </w:rPr>
      </w:pPr>
      <w:r w:rsidRPr="00657BA9">
        <w:rPr>
          <w:rFonts w:asciiTheme="minorHAnsi" w:hAnsiTheme="minorHAnsi"/>
          <w:sz w:val="24"/>
          <w:szCs w:val="24"/>
        </w:rPr>
        <w:t xml:space="preserve">The monthly debt-to-income ratio or residual income the borrower would be taking on with the mortgage. (Debt-to-income ratio is a consumer’s total monthly debt divided by their total monthly gross income).  </w:t>
      </w:r>
    </w:p>
    <w:p w:rsidR="000E1709" w:rsidRDefault="00657BA9">
      <w:pPr>
        <w:ind w:left="1080" w:right="1166"/>
        <w:jc w:val="both"/>
        <w:rPr>
          <w:rFonts w:asciiTheme="minorHAnsi" w:hAnsiTheme="minorHAnsi"/>
          <w:sz w:val="24"/>
          <w:szCs w:val="24"/>
        </w:rPr>
      </w:pPr>
      <w:r w:rsidRPr="00657BA9">
        <w:rPr>
          <w:rFonts w:asciiTheme="minorHAnsi" w:hAnsiTheme="minorHAnsi"/>
          <w:sz w:val="24"/>
          <w:szCs w:val="24"/>
        </w:rPr>
        <w:lastRenderedPageBreak/>
        <w:t xml:space="preserve">An underwriter will look at current or reasonably expected income and/or assets.  That means you will ask your borrower for current paystubs, W2’s, 1009’s, award letters or other documentation to support the income that is used on the application.  Be aware that the Underwriter may also order an additional verification of employment immediately before the transaction closes. Verifying and documenting the assets used to qualify for the mortgage may be required just before closing as well. They will take into consideration the payment for this mortgage and other loans against the property using the highest payment that will apply in the first five years of the loan(s).  </w:t>
      </w:r>
    </w:p>
    <w:p w:rsidR="000E1709" w:rsidRDefault="000E1709">
      <w:pPr>
        <w:ind w:left="1080" w:right="1166"/>
        <w:jc w:val="both"/>
        <w:rPr>
          <w:rFonts w:asciiTheme="minorHAnsi" w:hAnsiTheme="minorHAnsi"/>
          <w:sz w:val="24"/>
          <w:szCs w:val="24"/>
        </w:rPr>
      </w:pPr>
    </w:p>
    <w:p w:rsidR="000E1709" w:rsidRDefault="00657BA9">
      <w:pPr>
        <w:ind w:left="1080" w:right="1166"/>
        <w:jc w:val="both"/>
        <w:rPr>
          <w:rFonts w:asciiTheme="minorHAnsi" w:hAnsiTheme="minorHAnsi" w:cs="Arial"/>
          <w:sz w:val="24"/>
          <w:szCs w:val="24"/>
        </w:rPr>
      </w:pPr>
      <w:r w:rsidRPr="00657BA9">
        <w:rPr>
          <w:rFonts w:asciiTheme="minorHAnsi" w:hAnsiTheme="minorHAnsi"/>
          <w:sz w:val="24"/>
          <w:szCs w:val="24"/>
        </w:rPr>
        <w:t xml:space="preserve">The underwriter will also consider property taxes, homeowners insurance, </w:t>
      </w:r>
      <w:proofErr w:type="gramStart"/>
      <w:r w:rsidRPr="00657BA9">
        <w:rPr>
          <w:rFonts w:asciiTheme="minorHAnsi" w:hAnsiTheme="minorHAnsi"/>
          <w:sz w:val="24"/>
          <w:szCs w:val="24"/>
        </w:rPr>
        <w:t>homeowners</w:t>
      </w:r>
      <w:proofErr w:type="gramEnd"/>
      <w:r w:rsidRPr="00657BA9">
        <w:rPr>
          <w:rFonts w:asciiTheme="minorHAnsi" w:hAnsiTheme="minorHAnsi"/>
          <w:sz w:val="24"/>
          <w:szCs w:val="24"/>
        </w:rPr>
        <w:t xml:space="preserve"> association dues and any other mortgage related obligations.   Other obligations that may not show up on a credit report such as alimony or child support will be considered.  Lenders must </w:t>
      </w:r>
      <w:r w:rsidRPr="00657BA9">
        <w:rPr>
          <w:rFonts w:asciiTheme="minorHAnsi" w:hAnsiTheme="minorHAnsi" w:cs="Arial"/>
          <w:sz w:val="24"/>
          <w:szCs w:val="24"/>
        </w:rPr>
        <w:t xml:space="preserve">generally use reasonably reliable third party records to verify the information they use to evaluate the eight categories above. </w:t>
      </w:r>
      <w:r w:rsidRPr="00657BA9">
        <w:rPr>
          <w:rStyle w:val="FootnoteReference"/>
          <w:rFonts w:asciiTheme="minorHAnsi" w:hAnsiTheme="minorHAnsi" w:cs="Arial"/>
          <w:sz w:val="24"/>
          <w:szCs w:val="24"/>
        </w:rPr>
        <w:footnoteReference w:id="14"/>
      </w:r>
      <w:r w:rsidRPr="00657BA9">
        <w:rPr>
          <w:rFonts w:asciiTheme="minorHAnsi" w:hAnsiTheme="minorHAnsi" w:cs="Arial"/>
          <w:sz w:val="24"/>
          <w:szCs w:val="24"/>
        </w:rPr>
        <w:t xml:space="preserve"> These would be a credit report, bank statement, award letter or other official document.  </w:t>
      </w:r>
    </w:p>
    <w:p w:rsidR="00D96EAC" w:rsidRDefault="00D96EAC" w:rsidP="00D96EAC">
      <w:pPr>
        <w:pStyle w:val="Heading3"/>
      </w:pPr>
    </w:p>
    <w:p w:rsidR="000E1709" w:rsidRDefault="00657BA9" w:rsidP="00D96EAC">
      <w:pPr>
        <w:pStyle w:val="Heading3"/>
      </w:pPr>
      <w:bookmarkStart w:id="149" w:name="_Toc349130454"/>
      <w:r w:rsidRPr="00657BA9">
        <w:t>Qualified Mortgage</w:t>
      </w:r>
      <w:bookmarkEnd w:id="149"/>
    </w:p>
    <w:p w:rsidR="000E1709" w:rsidRDefault="00657BA9">
      <w:pPr>
        <w:ind w:left="1080" w:right="1166"/>
        <w:jc w:val="both"/>
        <w:rPr>
          <w:rFonts w:asciiTheme="minorHAnsi" w:hAnsiTheme="minorHAnsi"/>
          <w:sz w:val="24"/>
          <w:szCs w:val="24"/>
        </w:rPr>
      </w:pPr>
      <w:r w:rsidRPr="00657BA9">
        <w:rPr>
          <w:rFonts w:asciiTheme="minorHAnsi" w:hAnsiTheme="minorHAnsi"/>
          <w:sz w:val="24"/>
          <w:szCs w:val="24"/>
        </w:rPr>
        <w:t xml:space="preserve">In order for a lender or creditor to prove that they have taken the consumer’s situation into consideration while qualifying them for a loan, TILA offers a safe harbor or rebuttable presumption of compliance with the Ability-to-Repay rule by creating loans called Qualified Mortgages.  If a creditor or lender issues a Qualified Mortgage they will have certain protections from legal action in the future if a consumer defaults on their loan. </w:t>
      </w:r>
    </w:p>
    <w:p w:rsidR="000E1709" w:rsidRDefault="00657BA9">
      <w:pPr>
        <w:ind w:left="1080" w:right="1166"/>
        <w:jc w:val="both"/>
        <w:rPr>
          <w:rFonts w:asciiTheme="minorHAnsi" w:hAnsiTheme="minorHAnsi"/>
          <w:sz w:val="24"/>
          <w:szCs w:val="24"/>
        </w:rPr>
      </w:pPr>
      <w:r w:rsidRPr="00657BA9">
        <w:rPr>
          <w:rFonts w:asciiTheme="minorHAnsi" w:hAnsiTheme="minorHAnsi"/>
          <w:sz w:val="24"/>
          <w:szCs w:val="24"/>
        </w:rPr>
        <w:t>Specifically, the statutory definition of qualified mortgage requires the creditor to: (1) Verify and document the income and financial resources relied upon to qualify the obligors on the loan; and (2) Underwrite the loan based on a fully amortizing payment schedule and the maximum interest rate during the first five years, taking into account all applicable taxes, insurance, and assessments.</w:t>
      </w:r>
    </w:p>
    <w:p w:rsidR="000E1709" w:rsidRDefault="00657BA9">
      <w:pPr>
        <w:ind w:left="1080" w:right="1166"/>
        <w:jc w:val="both"/>
        <w:rPr>
          <w:rFonts w:asciiTheme="minorHAnsi" w:hAnsiTheme="minorHAnsi"/>
          <w:sz w:val="24"/>
          <w:szCs w:val="24"/>
        </w:rPr>
      </w:pPr>
      <w:r w:rsidRPr="00657BA9">
        <w:rPr>
          <w:rFonts w:asciiTheme="minorHAnsi" w:hAnsiTheme="minorHAnsi"/>
          <w:sz w:val="24"/>
          <w:szCs w:val="24"/>
        </w:rPr>
        <w:t>Qualified Mortgages may be prime loans or higher-priced loans and they must meet certain requirements which prohibit or limit the risky features of a loan. These features include:</w:t>
      </w:r>
    </w:p>
    <w:p w:rsidR="000E1709" w:rsidRDefault="00657BA9" w:rsidP="005212C7">
      <w:pPr>
        <w:pStyle w:val="ListParagraph"/>
        <w:numPr>
          <w:ilvl w:val="0"/>
          <w:numId w:val="61"/>
        </w:numPr>
        <w:autoSpaceDE w:val="0"/>
        <w:autoSpaceDN w:val="0"/>
        <w:adjustRightInd w:val="0"/>
        <w:spacing w:after="200" w:line="264" w:lineRule="auto"/>
        <w:ind w:right="1166"/>
        <w:jc w:val="both"/>
        <w:rPr>
          <w:rFonts w:asciiTheme="minorHAnsi" w:hAnsiTheme="minorHAnsi"/>
          <w:sz w:val="24"/>
          <w:szCs w:val="24"/>
        </w:rPr>
      </w:pPr>
      <w:r w:rsidRPr="00657BA9">
        <w:rPr>
          <w:rFonts w:asciiTheme="minorHAnsi" w:hAnsiTheme="minorHAnsi"/>
          <w:sz w:val="24"/>
          <w:szCs w:val="24"/>
        </w:rPr>
        <w:t xml:space="preserve">No interest only loans. </w:t>
      </w:r>
    </w:p>
    <w:p w:rsidR="000E1709" w:rsidRDefault="00657BA9" w:rsidP="005212C7">
      <w:pPr>
        <w:pStyle w:val="ListParagraph"/>
        <w:numPr>
          <w:ilvl w:val="0"/>
          <w:numId w:val="61"/>
        </w:numPr>
        <w:autoSpaceDE w:val="0"/>
        <w:autoSpaceDN w:val="0"/>
        <w:adjustRightInd w:val="0"/>
        <w:spacing w:after="200" w:line="264" w:lineRule="auto"/>
        <w:ind w:right="1166"/>
        <w:jc w:val="both"/>
        <w:rPr>
          <w:rFonts w:asciiTheme="minorHAnsi" w:hAnsiTheme="minorHAnsi"/>
          <w:sz w:val="24"/>
          <w:szCs w:val="24"/>
        </w:rPr>
      </w:pPr>
      <w:r w:rsidRPr="00657BA9">
        <w:rPr>
          <w:rFonts w:asciiTheme="minorHAnsi" w:hAnsiTheme="minorHAnsi"/>
          <w:sz w:val="24"/>
          <w:szCs w:val="24"/>
        </w:rPr>
        <w:t>No loans where the principle can increase such as negative amortization loans.</w:t>
      </w:r>
    </w:p>
    <w:p w:rsidR="000E1709" w:rsidRDefault="00657BA9" w:rsidP="005212C7">
      <w:pPr>
        <w:pStyle w:val="ListParagraph"/>
        <w:numPr>
          <w:ilvl w:val="0"/>
          <w:numId w:val="61"/>
        </w:numPr>
        <w:autoSpaceDE w:val="0"/>
        <w:autoSpaceDN w:val="0"/>
        <w:adjustRightInd w:val="0"/>
        <w:spacing w:after="200" w:line="264" w:lineRule="auto"/>
        <w:ind w:right="1166"/>
        <w:jc w:val="both"/>
        <w:rPr>
          <w:rFonts w:asciiTheme="minorHAnsi" w:hAnsiTheme="minorHAnsi"/>
          <w:sz w:val="24"/>
          <w:szCs w:val="24"/>
        </w:rPr>
      </w:pPr>
      <w:r w:rsidRPr="00657BA9">
        <w:rPr>
          <w:rFonts w:asciiTheme="minorHAnsi" w:hAnsiTheme="minorHAnsi"/>
          <w:sz w:val="24"/>
          <w:szCs w:val="24"/>
        </w:rPr>
        <w:t>No loan terms over 30 years.</w:t>
      </w:r>
    </w:p>
    <w:p w:rsidR="000E1709" w:rsidRDefault="00657BA9" w:rsidP="005212C7">
      <w:pPr>
        <w:pStyle w:val="ListParagraph"/>
        <w:numPr>
          <w:ilvl w:val="0"/>
          <w:numId w:val="61"/>
        </w:numPr>
        <w:autoSpaceDE w:val="0"/>
        <w:autoSpaceDN w:val="0"/>
        <w:adjustRightInd w:val="0"/>
        <w:spacing w:after="200" w:line="264" w:lineRule="auto"/>
        <w:ind w:right="1166"/>
        <w:jc w:val="both"/>
        <w:rPr>
          <w:rFonts w:asciiTheme="minorHAnsi" w:hAnsiTheme="minorHAnsi"/>
          <w:sz w:val="24"/>
          <w:szCs w:val="24"/>
        </w:rPr>
      </w:pPr>
      <w:r w:rsidRPr="00657BA9">
        <w:rPr>
          <w:rFonts w:asciiTheme="minorHAnsi" w:hAnsiTheme="minorHAnsi" w:cs="Arial"/>
          <w:sz w:val="24"/>
          <w:szCs w:val="24"/>
        </w:rPr>
        <w:t xml:space="preserve">No balloon payment loans except by </w:t>
      </w:r>
      <w:r w:rsidRPr="00657BA9">
        <w:rPr>
          <w:rFonts w:asciiTheme="minorHAnsi" w:hAnsiTheme="minorHAnsi"/>
          <w:sz w:val="24"/>
          <w:szCs w:val="24"/>
        </w:rPr>
        <w:t>smaller creditors in rural or underserved areas.</w:t>
      </w:r>
    </w:p>
    <w:p w:rsidR="000E1709" w:rsidRDefault="00657BA9" w:rsidP="005212C7">
      <w:pPr>
        <w:pStyle w:val="ListParagraph"/>
        <w:numPr>
          <w:ilvl w:val="0"/>
          <w:numId w:val="61"/>
        </w:numPr>
        <w:autoSpaceDE w:val="0"/>
        <w:autoSpaceDN w:val="0"/>
        <w:adjustRightInd w:val="0"/>
        <w:spacing w:after="200" w:line="264" w:lineRule="auto"/>
        <w:ind w:right="1166"/>
        <w:jc w:val="both"/>
        <w:rPr>
          <w:rFonts w:asciiTheme="minorHAnsi" w:hAnsiTheme="minorHAnsi"/>
          <w:sz w:val="24"/>
          <w:szCs w:val="24"/>
        </w:rPr>
      </w:pPr>
      <w:r w:rsidRPr="00657BA9">
        <w:rPr>
          <w:rFonts w:asciiTheme="minorHAnsi" w:hAnsiTheme="minorHAnsi"/>
          <w:bCs/>
          <w:sz w:val="24"/>
          <w:szCs w:val="24"/>
        </w:rPr>
        <w:t>No excess upfront points and fees. F</w:t>
      </w:r>
      <w:r w:rsidRPr="00657BA9">
        <w:rPr>
          <w:rFonts w:asciiTheme="minorHAnsi" w:hAnsiTheme="minorHAnsi"/>
          <w:sz w:val="24"/>
          <w:szCs w:val="24"/>
        </w:rPr>
        <w:t xml:space="preserve">ees paid by the creditor or consumer may not exceed three percent (3%) of the total loan amount, although certain “bona fide discount points” are excluded for prime loans. </w:t>
      </w:r>
    </w:p>
    <w:p w:rsidR="000E1709" w:rsidRDefault="00657BA9" w:rsidP="005212C7">
      <w:pPr>
        <w:pStyle w:val="ListParagraph"/>
        <w:numPr>
          <w:ilvl w:val="0"/>
          <w:numId w:val="61"/>
        </w:numPr>
        <w:autoSpaceDE w:val="0"/>
        <w:autoSpaceDN w:val="0"/>
        <w:adjustRightInd w:val="0"/>
        <w:spacing w:after="200" w:line="264" w:lineRule="auto"/>
        <w:ind w:right="1166"/>
        <w:jc w:val="both"/>
        <w:rPr>
          <w:rFonts w:asciiTheme="minorHAnsi" w:hAnsiTheme="minorHAnsi"/>
          <w:sz w:val="24"/>
          <w:szCs w:val="24"/>
        </w:rPr>
      </w:pPr>
      <w:r w:rsidRPr="00657BA9">
        <w:rPr>
          <w:rFonts w:asciiTheme="minorHAnsi" w:hAnsiTheme="minorHAnsi"/>
          <w:sz w:val="24"/>
          <w:szCs w:val="24"/>
        </w:rPr>
        <w:t xml:space="preserve">Limits debt-to-income ratios to 43% or less. For a temporary transitional period loans that do not have a 43% but meet government affordability or other standards </w:t>
      </w:r>
      <w:r w:rsidRPr="00657BA9">
        <w:rPr>
          <w:rFonts w:asciiTheme="minorHAnsi" w:hAnsiTheme="minorHAnsi"/>
          <w:sz w:val="24"/>
          <w:szCs w:val="24"/>
        </w:rPr>
        <w:lastRenderedPageBreak/>
        <w:t xml:space="preserve">such as they are eligible for purchase by the Federal National Mortgage Association (FNMA) or the Federal Home Loan Mortgage Corporation (Freddie Mac) will be considered Qualified Mortgages.  </w:t>
      </w:r>
    </w:p>
    <w:p w:rsidR="000E1709" w:rsidRDefault="000E1709">
      <w:pPr>
        <w:pStyle w:val="ListParagraph"/>
        <w:ind w:left="1080" w:right="1166"/>
        <w:jc w:val="both"/>
        <w:rPr>
          <w:rFonts w:asciiTheme="minorHAnsi" w:hAnsiTheme="minorHAnsi"/>
          <w:sz w:val="24"/>
          <w:szCs w:val="24"/>
        </w:rPr>
      </w:pPr>
    </w:p>
    <w:p w:rsidR="000E1709" w:rsidRDefault="00657BA9">
      <w:pPr>
        <w:ind w:left="1080" w:right="1166"/>
        <w:jc w:val="both"/>
        <w:rPr>
          <w:rFonts w:asciiTheme="minorHAnsi" w:hAnsiTheme="minorHAnsi"/>
          <w:sz w:val="24"/>
          <w:szCs w:val="24"/>
        </w:rPr>
      </w:pPr>
      <w:r w:rsidRPr="00657BA9">
        <w:rPr>
          <w:rFonts w:asciiTheme="minorHAnsi" w:hAnsiTheme="minorHAnsi"/>
          <w:sz w:val="24"/>
          <w:szCs w:val="24"/>
        </w:rPr>
        <w:t>Section 1026.43(e</w:t>
      </w:r>
      <w:proofErr w:type="gramStart"/>
      <w:r w:rsidRPr="00657BA9">
        <w:rPr>
          <w:rFonts w:asciiTheme="minorHAnsi" w:hAnsiTheme="minorHAnsi"/>
          <w:sz w:val="24"/>
          <w:szCs w:val="24"/>
        </w:rPr>
        <w:t>)(</w:t>
      </w:r>
      <w:proofErr w:type="gramEnd"/>
      <w:r w:rsidRPr="00657BA9">
        <w:rPr>
          <w:rFonts w:asciiTheme="minorHAnsi" w:hAnsiTheme="minorHAnsi"/>
          <w:sz w:val="24"/>
          <w:szCs w:val="24"/>
        </w:rPr>
        <w:t xml:space="preserve">1)(i) provides a safe harbor for qualified mortgages that are not higher-priced covered transactions. These are lower-priced loans that are typically made to borrowers who pose fewer risks. If the loan goes south, the lender will be considered to have legally satisfied the ability-to-repay requirements. </w:t>
      </w:r>
    </w:p>
    <w:p w:rsidR="000E1709" w:rsidRDefault="000E1709">
      <w:pPr>
        <w:pStyle w:val="ListParagraph"/>
        <w:ind w:left="1080" w:right="1166"/>
        <w:jc w:val="both"/>
        <w:rPr>
          <w:rFonts w:asciiTheme="minorHAnsi" w:hAnsiTheme="minorHAnsi"/>
          <w:sz w:val="24"/>
          <w:szCs w:val="24"/>
        </w:rPr>
      </w:pPr>
    </w:p>
    <w:p w:rsidR="000E1709" w:rsidRDefault="00657BA9">
      <w:pPr>
        <w:pStyle w:val="ListParagraph"/>
        <w:autoSpaceDE w:val="0"/>
        <w:autoSpaceDN w:val="0"/>
        <w:adjustRightInd w:val="0"/>
        <w:ind w:left="1080" w:right="1166"/>
        <w:jc w:val="both"/>
        <w:rPr>
          <w:rFonts w:asciiTheme="minorHAnsi" w:hAnsiTheme="minorHAnsi"/>
          <w:sz w:val="24"/>
          <w:szCs w:val="24"/>
        </w:rPr>
      </w:pPr>
      <w:r w:rsidRPr="00657BA9">
        <w:rPr>
          <w:rFonts w:asciiTheme="minorHAnsi" w:hAnsiTheme="minorHAnsi"/>
          <w:sz w:val="24"/>
          <w:szCs w:val="24"/>
        </w:rPr>
        <w:t>For qualified mortgages that are higher-priced loans, § 1026.43(e</w:t>
      </w:r>
      <w:proofErr w:type="gramStart"/>
      <w:r w:rsidRPr="00657BA9">
        <w:rPr>
          <w:rFonts w:asciiTheme="minorHAnsi" w:hAnsiTheme="minorHAnsi"/>
          <w:sz w:val="24"/>
          <w:szCs w:val="24"/>
        </w:rPr>
        <w:t>)(</w:t>
      </w:r>
      <w:proofErr w:type="gramEnd"/>
      <w:r w:rsidRPr="00657BA9">
        <w:rPr>
          <w:rFonts w:asciiTheme="minorHAnsi" w:hAnsiTheme="minorHAnsi"/>
          <w:sz w:val="24"/>
          <w:szCs w:val="24"/>
        </w:rPr>
        <w:t xml:space="preserve">1)(ii)(A) provides a rebuttable presumption of compliance with the repayment ability requirements. These higher-priced loans are typically made to consumers with insufficient or weak credit history. If the loan goes into default, the consumer can rebut the presumption that the creditor properly took into account their ability to repay the loan.  </w:t>
      </w:r>
    </w:p>
    <w:p w:rsidR="000E1709" w:rsidRDefault="000E1709">
      <w:pPr>
        <w:pStyle w:val="ListParagraph"/>
        <w:autoSpaceDE w:val="0"/>
        <w:autoSpaceDN w:val="0"/>
        <w:adjustRightInd w:val="0"/>
        <w:ind w:left="1080" w:right="1166"/>
        <w:jc w:val="both"/>
        <w:rPr>
          <w:rFonts w:asciiTheme="minorHAnsi" w:hAnsiTheme="minorHAnsi"/>
          <w:sz w:val="24"/>
          <w:szCs w:val="24"/>
        </w:rPr>
      </w:pPr>
    </w:p>
    <w:p w:rsidR="000E1709" w:rsidRDefault="000E1709">
      <w:pPr>
        <w:pStyle w:val="ListParagraph"/>
        <w:autoSpaceDE w:val="0"/>
        <w:autoSpaceDN w:val="0"/>
        <w:adjustRightInd w:val="0"/>
        <w:ind w:left="1080" w:right="1166"/>
        <w:jc w:val="both"/>
        <w:rPr>
          <w:rFonts w:asciiTheme="minorHAnsi" w:hAnsiTheme="minorHAnsi"/>
          <w:sz w:val="24"/>
          <w:szCs w:val="24"/>
        </w:rPr>
      </w:pPr>
    </w:p>
    <w:p w:rsidR="00E54B6D" w:rsidRPr="00312C29" w:rsidRDefault="00E54B6D" w:rsidP="00AF7B92">
      <w:pPr>
        <w:pStyle w:val="Heading2"/>
      </w:pPr>
      <w:bookmarkStart w:id="150" w:name="_Toc393103776"/>
      <w:bookmarkStart w:id="151" w:name="_Toc393103886"/>
      <w:bookmarkStart w:id="152" w:name="_Toc393104093"/>
      <w:bookmarkStart w:id="153" w:name="_Toc393104153"/>
      <w:bookmarkStart w:id="154" w:name="_Toc393104983"/>
      <w:bookmarkStart w:id="155" w:name="_Toc393105058"/>
      <w:bookmarkStart w:id="156" w:name="_Toc393105349"/>
      <w:bookmarkStart w:id="157" w:name="_Toc393105420"/>
      <w:bookmarkStart w:id="158" w:name="_Toc393811644"/>
      <w:bookmarkEnd w:id="150"/>
      <w:bookmarkEnd w:id="151"/>
      <w:bookmarkEnd w:id="152"/>
      <w:bookmarkEnd w:id="153"/>
      <w:bookmarkEnd w:id="154"/>
      <w:bookmarkEnd w:id="155"/>
      <w:bookmarkEnd w:id="156"/>
      <w:bookmarkEnd w:id="157"/>
      <w:r w:rsidRPr="002F61B2">
        <w:t xml:space="preserve">Loan Originator Compensation and Steering </w:t>
      </w:r>
      <w:r>
        <w:t>(</w:t>
      </w:r>
      <w:r w:rsidRPr="00312C29">
        <w:t xml:space="preserve">12 CFR </w:t>
      </w:r>
      <w:r>
        <w:t>1026.36(d) and e))</w:t>
      </w:r>
      <w:bookmarkEnd w:id="158"/>
    </w:p>
    <w:p w:rsidR="00E54B6D" w:rsidRDefault="00E54B6D" w:rsidP="00E54B6D">
      <w:pPr>
        <w:pStyle w:val="ListParagraph"/>
        <w:autoSpaceDE w:val="0"/>
        <w:autoSpaceDN w:val="0"/>
        <w:adjustRightInd w:val="0"/>
        <w:ind w:left="1080" w:right="1170"/>
        <w:jc w:val="both"/>
        <w:rPr>
          <w:sz w:val="24"/>
          <w:szCs w:val="24"/>
        </w:rPr>
      </w:pPr>
      <w:bookmarkStart w:id="159" w:name="_GoBack"/>
      <w:bookmarkEnd w:id="159"/>
    </w:p>
    <w:p w:rsidR="00E54B6D" w:rsidRDefault="00E54B6D" w:rsidP="00E54B6D">
      <w:pPr>
        <w:pStyle w:val="ListParagraph"/>
        <w:autoSpaceDE w:val="0"/>
        <w:autoSpaceDN w:val="0"/>
        <w:adjustRightInd w:val="0"/>
        <w:ind w:left="1080" w:right="1170"/>
        <w:jc w:val="both"/>
        <w:rPr>
          <w:sz w:val="24"/>
          <w:szCs w:val="24"/>
        </w:rPr>
      </w:pPr>
    </w:p>
    <w:p w:rsidR="00E54B6D" w:rsidRPr="00312C29" w:rsidRDefault="00E54B6D" w:rsidP="00E54B6D">
      <w:pPr>
        <w:pStyle w:val="ListParagraph"/>
        <w:autoSpaceDE w:val="0"/>
        <w:autoSpaceDN w:val="0"/>
        <w:adjustRightInd w:val="0"/>
        <w:ind w:left="1080" w:right="1170"/>
        <w:jc w:val="both"/>
        <w:rPr>
          <w:sz w:val="24"/>
          <w:szCs w:val="24"/>
        </w:rPr>
      </w:pPr>
      <w:r w:rsidRPr="00312C29">
        <w:rPr>
          <w:sz w:val="24"/>
          <w:szCs w:val="24"/>
        </w:rPr>
        <w:t>TILA Reg. Z rules prohibit certain practices relating to loan originator compensation.  The goal of these regulations is to protect consumers from unfair and abusive practices involving payments to loan originators in the mortgage market.  Before the new rules</w:t>
      </w:r>
      <w:r>
        <w:rPr>
          <w:sz w:val="24"/>
          <w:szCs w:val="24"/>
        </w:rPr>
        <w:t>,</w:t>
      </w:r>
      <w:r w:rsidRPr="00312C29">
        <w:rPr>
          <w:sz w:val="24"/>
          <w:szCs w:val="24"/>
        </w:rPr>
        <w:t xml:space="preserve"> it was common for a lender to pay a loan originator more compensation if the borrower accept</w:t>
      </w:r>
      <w:r>
        <w:rPr>
          <w:sz w:val="24"/>
          <w:szCs w:val="24"/>
        </w:rPr>
        <w:t>ed</w:t>
      </w:r>
      <w:r w:rsidRPr="00312C29">
        <w:rPr>
          <w:sz w:val="24"/>
          <w:szCs w:val="24"/>
        </w:rPr>
        <w:t xml:space="preserve"> an interest rate higher than the rate required. </w:t>
      </w:r>
    </w:p>
    <w:p w:rsidR="00E54B6D" w:rsidRDefault="00E54B6D" w:rsidP="00E54B6D">
      <w:pPr>
        <w:pStyle w:val="ListParagraph"/>
        <w:autoSpaceDE w:val="0"/>
        <w:autoSpaceDN w:val="0"/>
        <w:adjustRightInd w:val="0"/>
        <w:ind w:left="1080" w:right="1170"/>
        <w:jc w:val="both"/>
        <w:rPr>
          <w:sz w:val="24"/>
          <w:szCs w:val="24"/>
        </w:rPr>
      </w:pPr>
    </w:p>
    <w:p w:rsidR="00E54B6D" w:rsidRPr="00312C29" w:rsidRDefault="00E54B6D" w:rsidP="00E54B6D">
      <w:pPr>
        <w:pStyle w:val="ListParagraph"/>
        <w:autoSpaceDE w:val="0"/>
        <w:autoSpaceDN w:val="0"/>
        <w:adjustRightInd w:val="0"/>
        <w:ind w:left="1080" w:right="1170"/>
        <w:jc w:val="both"/>
        <w:rPr>
          <w:sz w:val="24"/>
          <w:szCs w:val="24"/>
        </w:rPr>
      </w:pPr>
      <w:r>
        <w:rPr>
          <w:sz w:val="24"/>
          <w:szCs w:val="24"/>
        </w:rPr>
        <w:t>The prohibitions under TILA</w:t>
      </w:r>
      <w:r w:rsidRPr="00312C29">
        <w:rPr>
          <w:sz w:val="24"/>
          <w:szCs w:val="24"/>
        </w:rPr>
        <w:t xml:space="preserve"> apply to closed-end loans secured by a dwelling. Open-end HELOCs, time shares and loans secured by real property if there is NO </w:t>
      </w:r>
      <w:proofErr w:type="gramStart"/>
      <w:r w:rsidRPr="00312C29">
        <w:rPr>
          <w:sz w:val="24"/>
          <w:szCs w:val="24"/>
        </w:rPr>
        <w:t>dwelling are</w:t>
      </w:r>
      <w:proofErr w:type="gramEnd"/>
      <w:r w:rsidRPr="00312C29">
        <w:rPr>
          <w:sz w:val="24"/>
          <w:szCs w:val="24"/>
        </w:rPr>
        <w:t xml:space="preserve"> exempt from the rules.  </w:t>
      </w:r>
    </w:p>
    <w:p w:rsidR="00E54B6D" w:rsidRDefault="00E54B6D" w:rsidP="00E54B6D">
      <w:pPr>
        <w:pStyle w:val="ListParagraph"/>
        <w:autoSpaceDE w:val="0"/>
        <w:autoSpaceDN w:val="0"/>
        <w:adjustRightInd w:val="0"/>
        <w:ind w:left="1080" w:right="1170"/>
        <w:jc w:val="both"/>
        <w:rPr>
          <w:sz w:val="24"/>
          <w:szCs w:val="24"/>
        </w:rPr>
      </w:pPr>
    </w:p>
    <w:p w:rsidR="00E54B6D" w:rsidRPr="00312C29" w:rsidRDefault="00E54B6D" w:rsidP="00E54B6D">
      <w:pPr>
        <w:pStyle w:val="ListParagraph"/>
        <w:autoSpaceDE w:val="0"/>
        <w:autoSpaceDN w:val="0"/>
        <w:adjustRightInd w:val="0"/>
        <w:ind w:left="1080" w:right="1170"/>
        <w:jc w:val="both"/>
        <w:rPr>
          <w:sz w:val="24"/>
          <w:szCs w:val="24"/>
        </w:rPr>
      </w:pPr>
      <w:r w:rsidRPr="00312C29">
        <w:rPr>
          <w:sz w:val="24"/>
          <w:szCs w:val="24"/>
        </w:rPr>
        <w:t xml:space="preserve">TILA Section </w:t>
      </w:r>
      <w:r>
        <w:rPr>
          <w:sz w:val="24"/>
          <w:szCs w:val="24"/>
        </w:rPr>
        <w:t>1026</w:t>
      </w:r>
      <w:r w:rsidRPr="00312C29">
        <w:rPr>
          <w:sz w:val="24"/>
          <w:szCs w:val="24"/>
        </w:rPr>
        <w:t>.36</w:t>
      </w:r>
      <w:r>
        <w:rPr>
          <w:sz w:val="24"/>
          <w:szCs w:val="24"/>
        </w:rPr>
        <w:t>(d)</w:t>
      </w:r>
      <w:r w:rsidRPr="00312C29">
        <w:rPr>
          <w:sz w:val="24"/>
          <w:szCs w:val="24"/>
        </w:rPr>
        <w:t xml:space="preserve"> rules apply to mortgage brokers and their employing companies, as well as loan officers employed by depository institutions and other lenders. </w:t>
      </w:r>
    </w:p>
    <w:p w:rsidR="00E54B6D" w:rsidRDefault="00E54B6D" w:rsidP="00E54B6D">
      <w:pPr>
        <w:pStyle w:val="ListParagraph"/>
        <w:autoSpaceDE w:val="0"/>
        <w:autoSpaceDN w:val="0"/>
        <w:adjustRightInd w:val="0"/>
        <w:ind w:left="1080" w:right="1170"/>
        <w:jc w:val="both"/>
        <w:rPr>
          <w:sz w:val="24"/>
          <w:szCs w:val="24"/>
        </w:rPr>
      </w:pPr>
    </w:p>
    <w:p w:rsidR="00E54B6D" w:rsidRDefault="00E54B6D" w:rsidP="00E54B6D">
      <w:pPr>
        <w:pStyle w:val="ListParagraph"/>
        <w:autoSpaceDE w:val="0"/>
        <w:autoSpaceDN w:val="0"/>
        <w:adjustRightInd w:val="0"/>
        <w:ind w:left="2160" w:right="1170"/>
        <w:jc w:val="both"/>
        <w:rPr>
          <w:sz w:val="24"/>
          <w:szCs w:val="24"/>
        </w:rPr>
      </w:pPr>
      <w:r>
        <w:rPr>
          <w:szCs w:val="24"/>
        </w:rPr>
        <w:t xml:space="preserve">The rule states: </w:t>
      </w:r>
      <w:r w:rsidRPr="004F6758">
        <w:rPr>
          <w:szCs w:val="24"/>
        </w:rPr>
        <w:t>“</w:t>
      </w:r>
      <w:r w:rsidRPr="00CB2F78">
        <w:rPr>
          <w:i/>
          <w:szCs w:val="24"/>
        </w:rPr>
        <w:t>In connection with a consumer credit transaction secured by a dwelling, no loan originator shall receive and no person shall pay to a loan originator, directly or indirectly, compensation in an amount that is based on any of the transaction's terms or conditions.</w:t>
      </w:r>
      <w:r w:rsidRPr="00403861">
        <w:rPr>
          <w:szCs w:val="24"/>
        </w:rPr>
        <w:t>”</w:t>
      </w:r>
      <w:r>
        <w:rPr>
          <w:rStyle w:val="FootnoteReference"/>
          <w:i/>
          <w:szCs w:val="24"/>
        </w:rPr>
        <w:footnoteReference w:id="15"/>
      </w:r>
    </w:p>
    <w:p w:rsidR="00E54B6D" w:rsidRDefault="00E54B6D" w:rsidP="00E54B6D">
      <w:pPr>
        <w:pStyle w:val="ListParagraph"/>
        <w:autoSpaceDE w:val="0"/>
        <w:autoSpaceDN w:val="0"/>
        <w:adjustRightInd w:val="0"/>
        <w:ind w:left="1080" w:right="1170"/>
        <w:jc w:val="both"/>
        <w:rPr>
          <w:sz w:val="24"/>
          <w:szCs w:val="24"/>
        </w:rPr>
      </w:pPr>
    </w:p>
    <w:p w:rsidR="00E54B6D" w:rsidRPr="00312C29" w:rsidRDefault="00E54B6D" w:rsidP="00E54B6D">
      <w:pPr>
        <w:pStyle w:val="ListParagraph"/>
        <w:autoSpaceDE w:val="0"/>
        <w:autoSpaceDN w:val="0"/>
        <w:adjustRightInd w:val="0"/>
        <w:ind w:left="1080" w:right="1170"/>
        <w:jc w:val="both"/>
        <w:rPr>
          <w:sz w:val="24"/>
          <w:szCs w:val="24"/>
        </w:rPr>
      </w:pPr>
      <w:r w:rsidRPr="00312C29">
        <w:rPr>
          <w:sz w:val="24"/>
          <w:szCs w:val="24"/>
        </w:rPr>
        <w:t xml:space="preserve">The rule also </w:t>
      </w:r>
      <w:r>
        <w:rPr>
          <w:sz w:val="24"/>
          <w:szCs w:val="24"/>
        </w:rPr>
        <w:t>states that</w:t>
      </w:r>
      <w:r w:rsidRPr="00312C29">
        <w:rPr>
          <w:sz w:val="24"/>
          <w:szCs w:val="24"/>
        </w:rPr>
        <w:t xml:space="preserve"> a loan originator may only be compensated by the consumer or the lender or other party, but not by both.</w:t>
      </w:r>
      <w:r>
        <w:rPr>
          <w:rStyle w:val="FootnoteReference"/>
          <w:sz w:val="24"/>
          <w:szCs w:val="24"/>
        </w:rPr>
        <w:footnoteReference w:id="16"/>
      </w:r>
    </w:p>
    <w:p w:rsidR="00E54B6D" w:rsidRDefault="00E54B6D" w:rsidP="00E54B6D">
      <w:pPr>
        <w:pStyle w:val="ListParagraph"/>
        <w:autoSpaceDE w:val="0"/>
        <w:autoSpaceDN w:val="0"/>
        <w:adjustRightInd w:val="0"/>
        <w:ind w:left="1080" w:right="1170"/>
        <w:jc w:val="both"/>
        <w:rPr>
          <w:sz w:val="24"/>
          <w:szCs w:val="24"/>
        </w:rPr>
      </w:pPr>
    </w:p>
    <w:p w:rsidR="002F61B2" w:rsidRDefault="00E54B6D" w:rsidP="00E54B6D">
      <w:pPr>
        <w:pStyle w:val="ListParagraph"/>
      </w:pPr>
      <w:r w:rsidRPr="00312C29">
        <w:rPr>
          <w:sz w:val="24"/>
          <w:szCs w:val="24"/>
        </w:rPr>
        <w:t xml:space="preserve">TILA Section </w:t>
      </w:r>
      <w:r>
        <w:rPr>
          <w:sz w:val="24"/>
          <w:szCs w:val="24"/>
        </w:rPr>
        <w:t>1026</w:t>
      </w:r>
      <w:r w:rsidRPr="00312C29">
        <w:rPr>
          <w:sz w:val="24"/>
          <w:szCs w:val="24"/>
        </w:rPr>
        <w:t>.36(e) requires a loan originator to offer a loan that is in the consumer</w:t>
      </w:r>
      <w:r>
        <w:rPr>
          <w:sz w:val="24"/>
          <w:szCs w:val="24"/>
        </w:rPr>
        <w:t>’</w:t>
      </w:r>
      <w:r w:rsidRPr="00312C29">
        <w:rPr>
          <w:sz w:val="24"/>
          <w:szCs w:val="24"/>
        </w:rPr>
        <w:t xml:space="preserve">s best interest.  It prohibits steering a consumer to a lender offering less favorable terms in order to increase the loan originator's compensation and </w:t>
      </w:r>
      <w:r>
        <w:rPr>
          <w:sz w:val="24"/>
          <w:szCs w:val="24"/>
        </w:rPr>
        <w:t xml:space="preserve">also </w:t>
      </w:r>
      <w:r w:rsidRPr="00312C29">
        <w:rPr>
          <w:sz w:val="24"/>
          <w:szCs w:val="24"/>
        </w:rPr>
        <w:t xml:space="preserve">provides a </w:t>
      </w:r>
      <w:r>
        <w:rPr>
          <w:sz w:val="24"/>
          <w:szCs w:val="24"/>
        </w:rPr>
        <w:t>‘</w:t>
      </w:r>
      <w:r w:rsidRPr="00312C29">
        <w:rPr>
          <w:sz w:val="24"/>
          <w:szCs w:val="24"/>
        </w:rPr>
        <w:t>safe harbor</w:t>
      </w:r>
      <w:r>
        <w:rPr>
          <w:sz w:val="24"/>
          <w:szCs w:val="24"/>
        </w:rPr>
        <w:t>’</w:t>
      </w:r>
      <w:r w:rsidRPr="00312C29">
        <w:rPr>
          <w:sz w:val="24"/>
          <w:szCs w:val="24"/>
        </w:rPr>
        <w:t xml:space="preserve"> to facilitate complia</w:t>
      </w:r>
      <w:r w:rsidR="00314D55">
        <w:rPr>
          <w:sz w:val="24"/>
          <w:szCs w:val="24"/>
        </w:rPr>
        <w:t>nce.</w:t>
      </w:r>
      <w:r w:rsidR="00314D55">
        <w:rPr>
          <w:rStyle w:val="FootnoteReference"/>
          <w:sz w:val="24"/>
          <w:szCs w:val="24"/>
        </w:rPr>
        <w:footnoteReference w:id="17"/>
      </w:r>
    </w:p>
    <w:p w:rsidR="000E1709" w:rsidRDefault="00657BA9" w:rsidP="005212C7">
      <w:pPr>
        <w:pStyle w:val="ListParagraph"/>
        <w:numPr>
          <w:ilvl w:val="0"/>
          <w:numId w:val="60"/>
        </w:numPr>
        <w:autoSpaceDE w:val="0"/>
        <w:autoSpaceDN w:val="0"/>
        <w:adjustRightInd w:val="0"/>
        <w:ind w:right="1170"/>
        <w:rPr>
          <w:rFonts w:ascii="Humnst777 Lt BT" w:hAnsi="Humnst777 Lt BT"/>
          <w:color w:val="365F91" w:themeColor="accent1" w:themeShade="BF"/>
          <w:sz w:val="36"/>
          <w:szCs w:val="36"/>
        </w:rPr>
      </w:pPr>
      <w:r w:rsidRPr="00657BA9">
        <w:rPr>
          <w:rFonts w:ascii="Humnst777 Lt BT" w:hAnsi="Humnst777 Lt BT"/>
          <w:color w:val="365F91" w:themeColor="accent1" w:themeShade="BF"/>
          <w:sz w:val="36"/>
          <w:szCs w:val="36"/>
        </w:rPr>
        <w:t xml:space="preserve">Loan Originator Compensation and Steering </w:t>
      </w:r>
    </w:p>
    <w:p w:rsidR="00312C29" w:rsidRPr="00312C29" w:rsidRDefault="00DC057C" w:rsidP="00312C29">
      <w:pPr>
        <w:autoSpaceDE w:val="0"/>
        <w:autoSpaceDN w:val="0"/>
        <w:adjustRightInd w:val="0"/>
        <w:ind w:left="720" w:right="1170"/>
        <w:rPr>
          <w:rFonts w:ascii="Humnst777 Lt BT" w:hAnsi="Humnst777 Lt BT"/>
          <w:color w:val="365F91" w:themeColor="accent1" w:themeShade="BF"/>
          <w:sz w:val="36"/>
          <w:szCs w:val="36"/>
        </w:rPr>
      </w:pPr>
      <w:r>
        <w:rPr>
          <w:rFonts w:ascii="Humnst777 Lt BT" w:hAnsi="Humnst777 Lt BT"/>
          <w:color w:val="365F91" w:themeColor="accent1" w:themeShade="BF"/>
          <w:sz w:val="36"/>
          <w:szCs w:val="36"/>
        </w:rPr>
        <w:t>(</w:t>
      </w:r>
      <w:r w:rsidR="00312C29" w:rsidRPr="00312C29">
        <w:rPr>
          <w:rFonts w:ascii="Humnst777 Lt BT" w:hAnsi="Humnst777 Lt BT"/>
          <w:color w:val="365F91" w:themeColor="accent1" w:themeShade="BF"/>
          <w:sz w:val="36"/>
          <w:szCs w:val="36"/>
        </w:rPr>
        <w:t xml:space="preserve">12 CFR </w:t>
      </w:r>
      <w:r w:rsidR="00F623A5">
        <w:rPr>
          <w:rFonts w:ascii="Humnst777 Lt BT" w:hAnsi="Humnst777 Lt BT"/>
          <w:color w:val="365F91" w:themeColor="accent1" w:themeShade="BF"/>
          <w:sz w:val="36"/>
          <w:szCs w:val="36"/>
        </w:rPr>
        <w:t>1026</w:t>
      </w:r>
      <w:r w:rsidR="009020DB">
        <w:rPr>
          <w:rFonts w:ascii="Humnst777 Lt BT" w:hAnsi="Humnst777 Lt BT"/>
          <w:color w:val="365F91" w:themeColor="accent1" w:themeShade="BF"/>
          <w:sz w:val="36"/>
          <w:szCs w:val="36"/>
        </w:rPr>
        <w:t>.36(d) and (e)</w:t>
      </w:r>
      <w:r>
        <w:rPr>
          <w:rFonts w:ascii="Humnst777 Lt BT" w:hAnsi="Humnst777 Lt BT"/>
          <w:color w:val="365F91" w:themeColor="accent1" w:themeShade="BF"/>
          <w:sz w:val="36"/>
          <w:szCs w:val="36"/>
        </w:rPr>
        <w:t>)</w:t>
      </w:r>
    </w:p>
    <w:p w:rsidR="00312C29" w:rsidRDefault="00312C29" w:rsidP="00936F1B">
      <w:pPr>
        <w:pStyle w:val="ListParagraph"/>
        <w:autoSpaceDE w:val="0"/>
        <w:autoSpaceDN w:val="0"/>
        <w:adjustRightInd w:val="0"/>
        <w:ind w:left="1080" w:right="1170"/>
        <w:jc w:val="both"/>
        <w:rPr>
          <w:sz w:val="24"/>
          <w:szCs w:val="24"/>
        </w:rPr>
      </w:pPr>
    </w:p>
    <w:p w:rsidR="00027069" w:rsidRDefault="00027069" w:rsidP="00936F1B">
      <w:pPr>
        <w:pStyle w:val="ListParagraph"/>
        <w:autoSpaceDE w:val="0"/>
        <w:autoSpaceDN w:val="0"/>
        <w:adjustRightInd w:val="0"/>
        <w:ind w:left="1080" w:right="1170"/>
        <w:jc w:val="both"/>
        <w:rPr>
          <w:sz w:val="24"/>
          <w:szCs w:val="24"/>
        </w:rPr>
      </w:pPr>
    </w:p>
    <w:p w:rsidR="00312C29" w:rsidRDefault="00312C29" w:rsidP="00936F1B">
      <w:pPr>
        <w:pStyle w:val="ListParagraph"/>
        <w:autoSpaceDE w:val="0"/>
        <w:autoSpaceDN w:val="0"/>
        <w:adjustRightInd w:val="0"/>
        <w:ind w:left="1080" w:right="1170"/>
        <w:jc w:val="both"/>
        <w:rPr>
          <w:sz w:val="24"/>
          <w:szCs w:val="24"/>
        </w:rPr>
      </w:pPr>
    </w:p>
    <w:p w:rsidR="00312C29" w:rsidRPr="00312C29" w:rsidRDefault="00312C29" w:rsidP="00312C29">
      <w:pPr>
        <w:pStyle w:val="ListParagraph"/>
        <w:autoSpaceDE w:val="0"/>
        <w:autoSpaceDN w:val="0"/>
        <w:adjustRightInd w:val="0"/>
        <w:ind w:left="1080" w:right="1170"/>
        <w:jc w:val="both"/>
        <w:rPr>
          <w:sz w:val="24"/>
          <w:szCs w:val="24"/>
        </w:rPr>
      </w:pPr>
      <w:r w:rsidRPr="00312C29">
        <w:rPr>
          <w:sz w:val="24"/>
          <w:szCs w:val="24"/>
        </w:rPr>
        <w:t>TILA Reg. Z rules prohibit certain practices relating to loan originator compensation.  The goal of these regulations is to protect consumers from unfair and abusive practices involving payments to loan originators in the mortgage market.  Before the new rules</w:t>
      </w:r>
      <w:r w:rsidR="004F6758">
        <w:rPr>
          <w:sz w:val="24"/>
          <w:szCs w:val="24"/>
        </w:rPr>
        <w:t>,</w:t>
      </w:r>
      <w:r w:rsidRPr="00312C29">
        <w:rPr>
          <w:sz w:val="24"/>
          <w:szCs w:val="24"/>
        </w:rPr>
        <w:t xml:space="preserve"> it was common for a lender to pay a loan originator more compensation if the borrower accept</w:t>
      </w:r>
      <w:r w:rsidR="00944EFB">
        <w:rPr>
          <w:sz w:val="24"/>
          <w:szCs w:val="24"/>
        </w:rPr>
        <w:t>ed</w:t>
      </w:r>
      <w:r w:rsidRPr="00312C29">
        <w:rPr>
          <w:sz w:val="24"/>
          <w:szCs w:val="24"/>
        </w:rPr>
        <w:t xml:space="preserve"> an interest rate higher than the rate required. </w:t>
      </w:r>
    </w:p>
    <w:p w:rsidR="00312C29" w:rsidRDefault="00312C29" w:rsidP="00312C29">
      <w:pPr>
        <w:pStyle w:val="ListParagraph"/>
        <w:autoSpaceDE w:val="0"/>
        <w:autoSpaceDN w:val="0"/>
        <w:adjustRightInd w:val="0"/>
        <w:ind w:left="1080" w:right="1170"/>
        <w:jc w:val="both"/>
        <w:rPr>
          <w:sz w:val="24"/>
          <w:szCs w:val="24"/>
        </w:rPr>
      </w:pPr>
    </w:p>
    <w:p w:rsidR="00312C29" w:rsidRPr="00312C29" w:rsidRDefault="00F27449" w:rsidP="00312C29">
      <w:pPr>
        <w:pStyle w:val="ListParagraph"/>
        <w:autoSpaceDE w:val="0"/>
        <w:autoSpaceDN w:val="0"/>
        <w:adjustRightInd w:val="0"/>
        <w:ind w:left="1080" w:right="1170"/>
        <w:jc w:val="both"/>
        <w:rPr>
          <w:sz w:val="24"/>
          <w:szCs w:val="24"/>
        </w:rPr>
      </w:pPr>
      <w:r>
        <w:rPr>
          <w:sz w:val="24"/>
          <w:szCs w:val="24"/>
        </w:rPr>
        <w:t>The prohibitions under TILA</w:t>
      </w:r>
      <w:r w:rsidR="00312C29" w:rsidRPr="00312C29">
        <w:rPr>
          <w:sz w:val="24"/>
          <w:szCs w:val="24"/>
        </w:rPr>
        <w:t xml:space="preserve"> apply to closed-end loans secured by a dwelling. Open-end HELOCs, time shares and loans secured by real property if there is NO </w:t>
      </w:r>
      <w:proofErr w:type="gramStart"/>
      <w:r w:rsidR="00312C29" w:rsidRPr="00312C29">
        <w:rPr>
          <w:sz w:val="24"/>
          <w:szCs w:val="24"/>
        </w:rPr>
        <w:t>dwelling are</w:t>
      </w:r>
      <w:proofErr w:type="gramEnd"/>
      <w:r w:rsidR="00312C29" w:rsidRPr="00312C29">
        <w:rPr>
          <w:sz w:val="24"/>
          <w:szCs w:val="24"/>
        </w:rPr>
        <w:t xml:space="preserve"> exempt from the rules.  </w:t>
      </w:r>
    </w:p>
    <w:p w:rsidR="00312C29" w:rsidRDefault="00312C29" w:rsidP="00312C29">
      <w:pPr>
        <w:pStyle w:val="ListParagraph"/>
        <w:autoSpaceDE w:val="0"/>
        <w:autoSpaceDN w:val="0"/>
        <w:adjustRightInd w:val="0"/>
        <w:ind w:left="1080" w:right="1170"/>
        <w:jc w:val="both"/>
        <w:rPr>
          <w:sz w:val="24"/>
          <w:szCs w:val="24"/>
        </w:rPr>
      </w:pPr>
    </w:p>
    <w:p w:rsidR="00312C29" w:rsidRPr="00312C29" w:rsidRDefault="00312C29" w:rsidP="00312C29">
      <w:pPr>
        <w:pStyle w:val="ListParagraph"/>
        <w:autoSpaceDE w:val="0"/>
        <w:autoSpaceDN w:val="0"/>
        <w:adjustRightInd w:val="0"/>
        <w:ind w:left="1080" w:right="1170"/>
        <w:jc w:val="both"/>
        <w:rPr>
          <w:sz w:val="24"/>
          <w:szCs w:val="24"/>
        </w:rPr>
      </w:pPr>
      <w:r w:rsidRPr="00312C29">
        <w:rPr>
          <w:sz w:val="24"/>
          <w:szCs w:val="24"/>
        </w:rPr>
        <w:t xml:space="preserve">TILA Section </w:t>
      </w:r>
      <w:r w:rsidR="00F623A5">
        <w:rPr>
          <w:sz w:val="24"/>
          <w:szCs w:val="24"/>
        </w:rPr>
        <w:t>1026</w:t>
      </w:r>
      <w:r w:rsidRPr="00312C29">
        <w:rPr>
          <w:sz w:val="24"/>
          <w:szCs w:val="24"/>
        </w:rPr>
        <w:t>.36</w:t>
      </w:r>
      <w:r w:rsidR="009020DB">
        <w:rPr>
          <w:sz w:val="24"/>
          <w:szCs w:val="24"/>
        </w:rPr>
        <w:t>(d)</w:t>
      </w:r>
      <w:r w:rsidRPr="00312C29">
        <w:rPr>
          <w:sz w:val="24"/>
          <w:szCs w:val="24"/>
        </w:rPr>
        <w:t xml:space="preserve"> rules apply to mortgage brokers and their employing companies, as well as loan officers employed by depository institutions and other lenders. </w:t>
      </w:r>
    </w:p>
    <w:p w:rsidR="00312C29" w:rsidRDefault="00312C29" w:rsidP="00312C29">
      <w:pPr>
        <w:pStyle w:val="ListParagraph"/>
        <w:autoSpaceDE w:val="0"/>
        <w:autoSpaceDN w:val="0"/>
        <w:adjustRightInd w:val="0"/>
        <w:ind w:left="1080" w:right="1170"/>
        <w:jc w:val="both"/>
        <w:rPr>
          <w:sz w:val="24"/>
          <w:szCs w:val="24"/>
        </w:rPr>
      </w:pPr>
    </w:p>
    <w:p w:rsidR="00944995" w:rsidRDefault="00CB2F78" w:rsidP="00944995">
      <w:pPr>
        <w:pStyle w:val="ListParagraph"/>
        <w:autoSpaceDE w:val="0"/>
        <w:autoSpaceDN w:val="0"/>
        <w:adjustRightInd w:val="0"/>
        <w:ind w:left="2160" w:right="1170"/>
        <w:jc w:val="both"/>
        <w:rPr>
          <w:sz w:val="24"/>
          <w:szCs w:val="24"/>
        </w:rPr>
      </w:pPr>
      <w:r>
        <w:rPr>
          <w:szCs w:val="24"/>
        </w:rPr>
        <w:t xml:space="preserve">The rule states: </w:t>
      </w:r>
      <w:r w:rsidRPr="004F6758">
        <w:rPr>
          <w:szCs w:val="24"/>
        </w:rPr>
        <w:t>“</w:t>
      </w:r>
      <w:r w:rsidRPr="00CB2F78">
        <w:rPr>
          <w:i/>
          <w:szCs w:val="24"/>
        </w:rPr>
        <w:t>In connection with a consumer credit transaction secured by a dwelling, no loan originator shall receive and no person shall pay to a loan originator, directly or indirectly, compensation in an amount that is based on any of the transaction's terms or conditions.</w:t>
      </w:r>
      <w:r>
        <w:rPr>
          <w:rStyle w:val="FootnoteReference"/>
          <w:i/>
          <w:szCs w:val="24"/>
        </w:rPr>
        <w:footnoteReference w:id="18"/>
      </w:r>
    </w:p>
    <w:p w:rsidR="00312C29" w:rsidRPr="00312C29" w:rsidRDefault="00312C29" w:rsidP="00312C29">
      <w:pPr>
        <w:pStyle w:val="ListParagraph"/>
        <w:autoSpaceDE w:val="0"/>
        <w:autoSpaceDN w:val="0"/>
        <w:adjustRightInd w:val="0"/>
        <w:ind w:left="1080" w:right="1170"/>
        <w:jc w:val="both"/>
        <w:rPr>
          <w:sz w:val="24"/>
          <w:szCs w:val="24"/>
        </w:rPr>
      </w:pPr>
      <w:r w:rsidRPr="00312C29">
        <w:rPr>
          <w:sz w:val="24"/>
          <w:szCs w:val="24"/>
        </w:rPr>
        <w:t xml:space="preserve">The rule also </w:t>
      </w:r>
      <w:r w:rsidR="00944EFB">
        <w:rPr>
          <w:sz w:val="24"/>
          <w:szCs w:val="24"/>
        </w:rPr>
        <w:t>states that</w:t>
      </w:r>
      <w:r w:rsidR="00944EFB" w:rsidRPr="00312C29">
        <w:rPr>
          <w:sz w:val="24"/>
          <w:szCs w:val="24"/>
        </w:rPr>
        <w:t xml:space="preserve"> </w:t>
      </w:r>
      <w:r w:rsidRPr="00312C29">
        <w:rPr>
          <w:sz w:val="24"/>
          <w:szCs w:val="24"/>
        </w:rPr>
        <w:t>a loan originator may only be compensated by the consumer or the lender or other party, but not by both.</w:t>
      </w:r>
      <w:r w:rsidR="009020DB">
        <w:rPr>
          <w:rStyle w:val="FootnoteReference"/>
          <w:sz w:val="24"/>
          <w:szCs w:val="24"/>
        </w:rPr>
        <w:footnoteReference w:id="19"/>
      </w:r>
    </w:p>
    <w:p w:rsidR="00312C29" w:rsidRDefault="00312C29" w:rsidP="00312C29">
      <w:pPr>
        <w:pStyle w:val="ListParagraph"/>
        <w:autoSpaceDE w:val="0"/>
        <w:autoSpaceDN w:val="0"/>
        <w:adjustRightInd w:val="0"/>
        <w:ind w:left="1080" w:right="1170"/>
        <w:jc w:val="both"/>
        <w:rPr>
          <w:sz w:val="24"/>
          <w:szCs w:val="24"/>
        </w:rPr>
      </w:pPr>
    </w:p>
    <w:p w:rsidR="00312C29" w:rsidRPr="00312C29" w:rsidRDefault="00312C29" w:rsidP="00312C29">
      <w:pPr>
        <w:pStyle w:val="ListParagraph"/>
        <w:autoSpaceDE w:val="0"/>
        <w:autoSpaceDN w:val="0"/>
        <w:adjustRightInd w:val="0"/>
        <w:ind w:left="1080" w:right="1170"/>
        <w:jc w:val="both"/>
        <w:rPr>
          <w:sz w:val="24"/>
          <w:szCs w:val="24"/>
        </w:rPr>
      </w:pPr>
      <w:r w:rsidRPr="00312C29">
        <w:rPr>
          <w:sz w:val="24"/>
          <w:szCs w:val="24"/>
        </w:rPr>
        <w:t xml:space="preserve">TILA Section </w:t>
      </w:r>
      <w:r w:rsidR="00F623A5">
        <w:rPr>
          <w:sz w:val="24"/>
          <w:szCs w:val="24"/>
        </w:rPr>
        <w:t>1026</w:t>
      </w:r>
      <w:r w:rsidRPr="00312C29">
        <w:rPr>
          <w:sz w:val="24"/>
          <w:szCs w:val="24"/>
        </w:rPr>
        <w:t>.36(e) requires a loan originator to offer a loan that is in the consumer</w:t>
      </w:r>
      <w:r>
        <w:rPr>
          <w:sz w:val="24"/>
          <w:szCs w:val="24"/>
        </w:rPr>
        <w:t>’</w:t>
      </w:r>
      <w:r w:rsidRPr="00312C29">
        <w:rPr>
          <w:sz w:val="24"/>
          <w:szCs w:val="24"/>
        </w:rPr>
        <w:t xml:space="preserve">s best interest.  It prohibits steering a consumer to a lender offering less favorable terms in order to increase the loan originator's compensation and </w:t>
      </w:r>
      <w:r w:rsidR="00944EFB">
        <w:rPr>
          <w:sz w:val="24"/>
          <w:szCs w:val="24"/>
        </w:rPr>
        <w:t xml:space="preserve">also </w:t>
      </w:r>
      <w:r w:rsidRPr="00312C29">
        <w:rPr>
          <w:sz w:val="24"/>
          <w:szCs w:val="24"/>
        </w:rPr>
        <w:t xml:space="preserve">provides a </w:t>
      </w:r>
      <w:r w:rsidR="004F6758">
        <w:rPr>
          <w:sz w:val="24"/>
          <w:szCs w:val="24"/>
        </w:rPr>
        <w:t>‘</w:t>
      </w:r>
      <w:r w:rsidRPr="00312C29">
        <w:rPr>
          <w:sz w:val="24"/>
          <w:szCs w:val="24"/>
        </w:rPr>
        <w:t>safe harbor</w:t>
      </w:r>
      <w:r w:rsidR="004F6758">
        <w:rPr>
          <w:sz w:val="24"/>
          <w:szCs w:val="24"/>
        </w:rPr>
        <w:t>’</w:t>
      </w:r>
      <w:r w:rsidR="004F6758" w:rsidRPr="00312C29">
        <w:rPr>
          <w:sz w:val="24"/>
          <w:szCs w:val="24"/>
        </w:rPr>
        <w:t xml:space="preserve"> </w:t>
      </w:r>
      <w:r w:rsidRPr="00312C29">
        <w:rPr>
          <w:sz w:val="24"/>
          <w:szCs w:val="24"/>
        </w:rPr>
        <w:t xml:space="preserve">to facilitate compliance. </w:t>
      </w:r>
      <w:r w:rsidR="005E34C6">
        <w:rPr>
          <w:rStyle w:val="FootnoteReference"/>
          <w:sz w:val="24"/>
          <w:szCs w:val="24"/>
        </w:rPr>
        <w:footnoteReference w:id="20"/>
      </w:r>
    </w:p>
    <w:p w:rsidR="00312C29" w:rsidRDefault="00312C29" w:rsidP="00312C29">
      <w:pPr>
        <w:pStyle w:val="ListParagraph"/>
        <w:autoSpaceDE w:val="0"/>
        <w:autoSpaceDN w:val="0"/>
        <w:adjustRightInd w:val="0"/>
        <w:ind w:left="1080" w:right="1170"/>
        <w:jc w:val="both"/>
        <w:rPr>
          <w:sz w:val="24"/>
          <w:szCs w:val="24"/>
        </w:rPr>
      </w:pPr>
    </w:p>
    <w:p w:rsidR="00312C29" w:rsidRPr="00312C29" w:rsidRDefault="00312C29" w:rsidP="00312C29">
      <w:pPr>
        <w:pStyle w:val="ListParagraph"/>
        <w:autoSpaceDE w:val="0"/>
        <w:autoSpaceDN w:val="0"/>
        <w:adjustRightInd w:val="0"/>
        <w:ind w:left="1080" w:right="1170"/>
        <w:jc w:val="both"/>
        <w:rPr>
          <w:sz w:val="24"/>
          <w:szCs w:val="24"/>
        </w:rPr>
      </w:pPr>
      <w:r w:rsidRPr="00312C29">
        <w:rPr>
          <w:sz w:val="24"/>
          <w:szCs w:val="24"/>
        </w:rPr>
        <w:lastRenderedPageBreak/>
        <w:t xml:space="preserve">The rules on originator compensation apply to transactions for which the creditor receives an application on or after April 1, 2011.  </w:t>
      </w:r>
    </w:p>
    <w:p w:rsidR="00312C29" w:rsidRDefault="00312C29" w:rsidP="00312C29">
      <w:pPr>
        <w:pStyle w:val="ListParagraph"/>
        <w:autoSpaceDE w:val="0"/>
        <w:autoSpaceDN w:val="0"/>
        <w:adjustRightInd w:val="0"/>
        <w:ind w:left="1080" w:right="1170"/>
        <w:jc w:val="both"/>
        <w:rPr>
          <w:sz w:val="24"/>
          <w:szCs w:val="24"/>
        </w:rPr>
      </w:pPr>
    </w:p>
    <w:p w:rsidR="00F82E68" w:rsidRPr="00F82E68" w:rsidRDefault="00F82E68" w:rsidP="00312C29">
      <w:pPr>
        <w:pStyle w:val="ListParagraph"/>
        <w:autoSpaceDE w:val="0"/>
        <w:autoSpaceDN w:val="0"/>
        <w:adjustRightInd w:val="0"/>
        <w:ind w:left="2160" w:right="1170"/>
        <w:jc w:val="both"/>
        <w:rPr>
          <w:szCs w:val="24"/>
        </w:rPr>
      </w:pPr>
    </w:p>
    <w:p w:rsidR="000E1709" w:rsidRDefault="00F82E68" w:rsidP="00D96EAC">
      <w:pPr>
        <w:pStyle w:val="Heading3"/>
      </w:pPr>
      <w:r w:rsidRPr="006F0CA2">
        <w:t xml:space="preserve">Loan Officer Compensation Rule </w:t>
      </w:r>
      <w:r w:rsidR="00F623A5">
        <w:t>1026</w:t>
      </w:r>
      <w:r w:rsidRPr="006F0CA2">
        <w:t xml:space="preserve">.25 &amp; </w:t>
      </w:r>
      <w:r w:rsidR="00F623A5">
        <w:t>1026</w:t>
      </w:r>
      <w:r w:rsidRPr="006F0CA2">
        <w:t>.36</w:t>
      </w:r>
    </w:p>
    <w:p w:rsidR="004F6758" w:rsidRDefault="004F6758" w:rsidP="00312C29">
      <w:pPr>
        <w:pStyle w:val="ListParagraph"/>
        <w:autoSpaceDE w:val="0"/>
        <w:autoSpaceDN w:val="0"/>
        <w:adjustRightInd w:val="0"/>
        <w:ind w:left="2160" w:right="1170"/>
        <w:jc w:val="both"/>
        <w:rPr>
          <w:i/>
          <w:szCs w:val="24"/>
        </w:rPr>
      </w:pPr>
    </w:p>
    <w:p w:rsidR="00312C29" w:rsidRPr="00312C29" w:rsidRDefault="00312C29" w:rsidP="00312C29">
      <w:pPr>
        <w:pStyle w:val="ListParagraph"/>
        <w:autoSpaceDE w:val="0"/>
        <w:autoSpaceDN w:val="0"/>
        <w:adjustRightInd w:val="0"/>
        <w:ind w:left="2160" w:right="1170"/>
        <w:jc w:val="both"/>
        <w:rPr>
          <w:i/>
          <w:szCs w:val="24"/>
        </w:rPr>
      </w:pPr>
      <w:proofErr w:type="gramStart"/>
      <w:r w:rsidRPr="00312C29">
        <w:rPr>
          <w:i/>
          <w:szCs w:val="24"/>
        </w:rPr>
        <w:t xml:space="preserve">“Section </w:t>
      </w:r>
      <w:r w:rsidR="00F623A5">
        <w:rPr>
          <w:i/>
          <w:szCs w:val="24"/>
        </w:rPr>
        <w:t>1026</w:t>
      </w:r>
      <w:r w:rsidRPr="00312C29">
        <w:rPr>
          <w:i/>
          <w:szCs w:val="24"/>
        </w:rPr>
        <w:t xml:space="preserve">.25 </w:t>
      </w:r>
      <w:r w:rsidRPr="00454682">
        <w:rPr>
          <w:b/>
          <w:i/>
          <w:szCs w:val="24"/>
        </w:rPr>
        <w:t>Record retention</w:t>
      </w:r>
      <w:r w:rsidRPr="00312C29">
        <w:rPr>
          <w:i/>
          <w:szCs w:val="24"/>
        </w:rPr>
        <w:t>.</w:t>
      </w:r>
      <w:proofErr w:type="gramEnd"/>
      <w:r w:rsidRPr="00312C29">
        <w:rPr>
          <w:i/>
          <w:szCs w:val="24"/>
        </w:rPr>
        <w:t xml:space="preserve"> </w:t>
      </w:r>
    </w:p>
    <w:p w:rsidR="00312C29" w:rsidRPr="00312C29" w:rsidRDefault="00312C29" w:rsidP="00312C29">
      <w:pPr>
        <w:pStyle w:val="ListParagraph"/>
        <w:autoSpaceDE w:val="0"/>
        <w:autoSpaceDN w:val="0"/>
        <w:adjustRightInd w:val="0"/>
        <w:ind w:left="2160" w:right="1170"/>
        <w:jc w:val="both"/>
        <w:rPr>
          <w:i/>
          <w:szCs w:val="24"/>
        </w:rPr>
      </w:pPr>
    </w:p>
    <w:p w:rsidR="00312C29" w:rsidRPr="00312C29" w:rsidRDefault="00312C29" w:rsidP="00312C29">
      <w:pPr>
        <w:pStyle w:val="ListParagraph"/>
        <w:autoSpaceDE w:val="0"/>
        <w:autoSpaceDN w:val="0"/>
        <w:adjustRightInd w:val="0"/>
        <w:ind w:left="2160" w:right="1170"/>
        <w:jc w:val="both"/>
        <w:rPr>
          <w:i/>
          <w:szCs w:val="24"/>
        </w:rPr>
      </w:pPr>
      <w:r w:rsidRPr="00312C29">
        <w:rPr>
          <w:i/>
          <w:szCs w:val="24"/>
        </w:rPr>
        <w:t>(a)</w:t>
      </w:r>
      <w:r w:rsidRPr="00312C29">
        <w:rPr>
          <w:i/>
          <w:szCs w:val="24"/>
        </w:rPr>
        <w:tab/>
        <w:t>General rule.</w:t>
      </w:r>
    </w:p>
    <w:p w:rsidR="00312C29" w:rsidRPr="00312C29" w:rsidRDefault="00312C29" w:rsidP="00312C29">
      <w:pPr>
        <w:pStyle w:val="ListParagraph"/>
        <w:autoSpaceDE w:val="0"/>
        <w:autoSpaceDN w:val="0"/>
        <w:adjustRightInd w:val="0"/>
        <w:ind w:left="2160" w:right="1170"/>
        <w:jc w:val="both"/>
        <w:rPr>
          <w:i/>
          <w:szCs w:val="24"/>
        </w:rPr>
      </w:pPr>
    </w:p>
    <w:p w:rsidR="00312C29" w:rsidRPr="00312C29" w:rsidRDefault="00312C29" w:rsidP="00312C29">
      <w:pPr>
        <w:pStyle w:val="ListParagraph"/>
        <w:autoSpaceDE w:val="0"/>
        <w:autoSpaceDN w:val="0"/>
        <w:adjustRightInd w:val="0"/>
        <w:ind w:left="2160" w:right="1170"/>
        <w:jc w:val="both"/>
        <w:rPr>
          <w:i/>
          <w:szCs w:val="24"/>
        </w:rPr>
      </w:pPr>
      <w:r w:rsidRPr="00312C29">
        <w:rPr>
          <w:i/>
          <w:szCs w:val="24"/>
        </w:rPr>
        <w:t xml:space="preserve">Requires, for each transaction subject to the loan originator compensation provisions in § </w:t>
      </w:r>
      <w:r w:rsidR="00F623A5">
        <w:rPr>
          <w:i/>
          <w:szCs w:val="24"/>
        </w:rPr>
        <w:t>1026</w:t>
      </w:r>
      <w:r w:rsidRPr="00312C29">
        <w:rPr>
          <w:i/>
          <w:szCs w:val="24"/>
        </w:rPr>
        <w:t xml:space="preserve">.36(d)(1), that the creditor maintain records of the compensation it provided to the loan originator for the transaction as well as the compensation agreement in effect on the date the interest rate was set for the transaction. </w:t>
      </w:r>
    </w:p>
    <w:p w:rsidR="00312C29" w:rsidRPr="00312C29" w:rsidRDefault="00312C29" w:rsidP="00312C29">
      <w:pPr>
        <w:pStyle w:val="ListParagraph"/>
        <w:autoSpaceDE w:val="0"/>
        <w:autoSpaceDN w:val="0"/>
        <w:adjustRightInd w:val="0"/>
        <w:ind w:left="2160" w:right="1170"/>
        <w:jc w:val="both"/>
        <w:rPr>
          <w:i/>
          <w:szCs w:val="24"/>
        </w:rPr>
      </w:pPr>
    </w:p>
    <w:p w:rsidR="00312C29" w:rsidRPr="00312C29" w:rsidRDefault="00312C29" w:rsidP="00312C29">
      <w:pPr>
        <w:pStyle w:val="ListParagraph"/>
        <w:autoSpaceDE w:val="0"/>
        <w:autoSpaceDN w:val="0"/>
        <w:adjustRightInd w:val="0"/>
        <w:ind w:left="2160" w:right="1170"/>
        <w:jc w:val="both"/>
        <w:rPr>
          <w:i/>
          <w:szCs w:val="24"/>
        </w:rPr>
      </w:pPr>
      <w:r w:rsidRPr="00312C29">
        <w:rPr>
          <w:i/>
          <w:szCs w:val="24"/>
        </w:rPr>
        <w:t xml:space="preserve">Section </w:t>
      </w:r>
      <w:r w:rsidR="00F623A5">
        <w:rPr>
          <w:i/>
          <w:szCs w:val="24"/>
        </w:rPr>
        <w:t>1026</w:t>
      </w:r>
      <w:r w:rsidRPr="00312C29">
        <w:rPr>
          <w:i/>
          <w:szCs w:val="24"/>
        </w:rPr>
        <w:t xml:space="preserve">.36 Prohibited acts or practices in connection with credit secured by a dwelling. </w:t>
      </w:r>
    </w:p>
    <w:p w:rsidR="00312C29" w:rsidRPr="00312C29" w:rsidRDefault="00312C29" w:rsidP="00312C29">
      <w:pPr>
        <w:pStyle w:val="ListParagraph"/>
        <w:autoSpaceDE w:val="0"/>
        <w:autoSpaceDN w:val="0"/>
        <w:adjustRightInd w:val="0"/>
        <w:ind w:left="2160" w:right="1170"/>
        <w:jc w:val="both"/>
        <w:rPr>
          <w:i/>
          <w:szCs w:val="24"/>
        </w:rPr>
      </w:pPr>
    </w:p>
    <w:p w:rsidR="00312C29" w:rsidRPr="00312C29" w:rsidRDefault="00312C29" w:rsidP="00312C29">
      <w:pPr>
        <w:pStyle w:val="ListParagraph"/>
        <w:autoSpaceDE w:val="0"/>
        <w:autoSpaceDN w:val="0"/>
        <w:adjustRightInd w:val="0"/>
        <w:ind w:left="2160" w:right="1170"/>
        <w:jc w:val="both"/>
        <w:rPr>
          <w:i/>
          <w:szCs w:val="24"/>
        </w:rPr>
      </w:pPr>
      <w:r w:rsidRPr="00312C29">
        <w:rPr>
          <w:i/>
          <w:szCs w:val="24"/>
        </w:rPr>
        <w:t>(a)</w:t>
      </w:r>
      <w:r w:rsidRPr="00312C29">
        <w:rPr>
          <w:i/>
          <w:szCs w:val="24"/>
        </w:rPr>
        <w:tab/>
        <w:t xml:space="preserve">Loan originator and mortgage broker defined. </w:t>
      </w:r>
    </w:p>
    <w:p w:rsidR="00312C29" w:rsidRPr="00312C29" w:rsidRDefault="00312C29" w:rsidP="00312C29">
      <w:pPr>
        <w:pStyle w:val="ListParagraph"/>
        <w:autoSpaceDE w:val="0"/>
        <w:autoSpaceDN w:val="0"/>
        <w:adjustRightInd w:val="0"/>
        <w:ind w:left="2160" w:right="1170"/>
        <w:jc w:val="both"/>
        <w:rPr>
          <w:i/>
          <w:szCs w:val="24"/>
        </w:rPr>
      </w:pPr>
    </w:p>
    <w:p w:rsidR="00312C29" w:rsidRPr="00312C29" w:rsidRDefault="00312C29" w:rsidP="00312C29">
      <w:pPr>
        <w:pStyle w:val="ListParagraph"/>
        <w:autoSpaceDE w:val="0"/>
        <w:autoSpaceDN w:val="0"/>
        <w:adjustRightInd w:val="0"/>
        <w:ind w:left="2160" w:right="1170"/>
        <w:jc w:val="both"/>
        <w:rPr>
          <w:i/>
          <w:szCs w:val="24"/>
        </w:rPr>
      </w:pPr>
      <w:r w:rsidRPr="00312C29">
        <w:rPr>
          <w:i/>
          <w:szCs w:val="24"/>
        </w:rPr>
        <w:t>States that the regulation applies to all persons who originate loans, including mortgage brokers and their employees, as well as mortgage loan officers employed by depository institutions and other lenders.</w:t>
      </w:r>
    </w:p>
    <w:p w:rsidR="00312C29" w:rsidRPr="00312C29" w:rsidRDefault="00312C29" w:rsidP="00312C29">
      <w:pPr>
        <w:pStyle w:val="ListParagraph"/>
        <w:autoSpaceDE w:val="0"/>
        <w:autoSpaceDN w:val="0"/>
        <w:adjustRightInd w:val="0"/>
        <w:ind w:left="2160" w:right="1170"/>
        <w:jc w:val="both"/>
        <w:rPr>
          <w:i/>
          <w:szCs w:val="24"/>
        </w:rPr>
      </w:pPr>
    </w:p>
    <w:p w:rsidR="00312C29" w:rsidRPr="00312C29" w:rsidRDefault="005F7056" w:rsidP="00312C29">
      <w:pPr>
        <w:pStyle w:val="ListParagraph"/>
        <w:autoSpaceDE w:val="0"/>
        <w:autoSpaceDN w:val="0"/>
        <w:adjustRightInd w:val="0"/>
        <w:ind w:left="2160" w:right="1170"/>
        <w:jc w:val="both"/>
        <w:rPr>
          <w:i/>
          <w:szCs w:val="24"/>
        </w:rPr>
      </w:pPr>
      <w:r>
        <w:rPr>
          <w:i/>
          <w:szCs w:val="24"/>
        </w:rPr>
        <w:t>(</w:t>
      </w:r>
      <w:r w:rsidR="00312C29" w:rsidRPr="00312C29">
        <w:rPr>
          <w:i/>
          <w:szCs w:val="24"/>
        </w:rPr>
        <w:t xml:space="preserve">d) Prohibited payments to loan originators. </w:t>
      </w:r>
    </w:p>
    <w:p w:rsidR="00312C29" w:rsidRPr="00312C29" w:rsidRDefault="00312C29" w:rsidP="00312C29">
      <w:pPr>
        <w:pStyle w:val="ListParagraph"/>
        <w:autoSpaceDE w:val="0"/>
        <w:autoSpaceDN w:val="0"/>
        <w:adjustRightInd w:val="0"/>
        <w:ind w:left="2160" w:right="1170"/>
        <w:jc w:val="both"/>
        <w:rPr>
          <w:i/>
          <w:szCs w:val="24"/>
        </w:rPr>
      </w:pPr>
    </w:p>
    <w:p w:rsidR="00312C29" w:rsidRPr="00312C29" w:rsidRDefault="00312C29" w:rsidP="00312C29">
      <w:pPr>
        <w:pStyle w:val="ListParagraph"/>
        <w:autoSpaceDE w:val="0"/>
        <w:autoSpaceDN w:val="0"/>
        <w:adjustRightInd w:val="0"/>
        <w:ind w:left="2160" w:right="1170"/>
        <w:jc w:val="both"/>
        <w:rPr>
          <w:i/>
          <w:szCs w:val="24"/>
        </w:rPr>
      </w:pPr>
      <w:r w:rsidRPr="00312C29">
        <w:rPr>
          <w:i/>
          <w:szCs w:val="24"/>
        </w:rPr>
        <w:t xml:space="preserve">For purposes of § </w:t>
      </w:r>
      <w:r w:rsidR="00F623A5">
        <w:rPr>
          <w:i/>
          <w:szCs w:val="24"/>
        </w:rPr>
        <w:t>1026</w:t>
      </w:r>
      <w:r w:rsidRPr="00312C29">
        <w:rPr>
          <w:i/>
          <w:szCs w:val="24"/>
        </w:rPr>
        <w:t>.36(d</w:t>
      </w:r>
      <w:proofErr w:type="gramStart"/>
      <w:r w:rsidRPr="00312C29">
        <w:rPr>
          <w:i/>
          <w:szCs w:val="24"/>
        </w:rPr>
        <w:t>)(</w:t>
      </w:r>
      <w:proofErr w:type="gramEnd"/>
      <w:r w:rsidRPr="00312C29">
        <w:rPr>
          <w:i/>
          <w:szCs w:val="24"/>
        </w:rPr>
        <w:t xml:space="preserve">1) and (d)(2), affiliates are treated as a single </w:t>
      </w:r>
      <w:r w:rsidR="00843EAA">
        <w:rPr>
          <w:szCs w:val="24"/>
        </w:rPr>
        <w:t>‘</w:t>
      </w:r>
      <w:r w:rsidRPr="00312C29">
        <w:rPr>
          <w:i/>
          <w:szCs w:val="24"/>
        </w:rPr>
        <w:t>person</w:t>
      </w:r>
      <w:r w:rsidR="00843EAA" w:rsidRPr="00312C29">
        <w:rPr>
          <w:i/>
          <w:szCs w:val="24"/>
        </w:rPr>
        <w:t>.</w:t>
      </w:r>
      <w:r w:rsidR="00843EAA">
        <w:rPr>
          <w:i/>
          <w:szCs w:val="24"/>
        </w:rPr>
        <w:t>’</w:t>
      </w:r>
    </w:p>
    <w:p w:rsidR="00312C29" w:rsidRPr="00312C29" w:rsidRDefault="00312C29" w:rsidP="00312C29">
      <w:pPr>
        <w:pStyle w:val="ListParagraph"/>
        <w:autoSpaceDE w:val="0"/>
        <w:autoSpaceDN w:val="0"/>
        <w:adjustRightInd w:val="0"/>
        <w:ind w:left="2160" w:right="1170"/>
        <w:jc w:val="both"/>
        <w:rPr>
          <w:i/>
          <w:szCs w:val="24"/>
        </w:rPr>
      </w:pPr>
    </w:p>
    <w:p w:rsidR="00312C29" w:rsidRPr="00312C29" w:rsidRDefault="00312C29" w:rsidP="00312C29">
      <w:pPr>
        <w:pStyle w:val="ListParagraph"/>
        <w:autoSpaceDE w:val="0"/>
        <w:autoSpaceDN w:val="0"/>
        <w:adjustRightInd w:val="0"/>
        <w:ind w:left="2160" w:right="1170"/>
        <w:jc w:val="both"/>
        <w:rPr>
          <w:i/>
          <w:szCs w:val="24"/>
        </w:rPr>
      </w:pPr>
      <w:r w:rsidRPr="00312C29">
        <w:rPr>
          <w:i/>
          <w:szCs w:val="24"/>
        </w:rPr>
        <w:t xml:space="preserve">(d)(1) Payments based on transaction terms or conditions. </w:t>
      </w:r>
    </w:p>
    <w:p w:rsidR="00312C29" w:rsidRPr="00312C29" w:rsidRDefault="00312C29" w:rsidP="00312C29">
      <w:pPr>
        <w:pStyle w:val="ListParagraph"/>
        <w:autoSpaceDE w:val="0"/>
        <w:autoSpaceDN w:val="0"/>
        <w:adjustRightInd w:val="0"/>
        <w:ind w:left="2160" w:right="1170"/>
        <w:jc w:val="both"/>
        <w:rPr>
          <w:i/>
          <w:szCs w:val="24"/>
        </w:rPr>
      </w:pPr>
    </w:p>
    <w:p w:rsidR="00312C29" w:rsidRPr="00312C29" w:rsidRDefault="00312C29" w:rsidP="00312C29">
      <w:pPr>
        <w:pStyle w:val="ListParagraph"/>
        <w:autoSpaceDE w:val="0"/>
        <w:autoSpaceDN w:val="0"/>
        <w:adjustRightInd w:val="0"/>
        <w:ind w:left="2160" w:right="1170"/>
        <w:jc w:val="both"/>
        <w:rPr>
          <w:i/>
          <w:szCs w:val="24"/>
        </w:rPr>
      </w:pPr>
      <w:r w:rsidRPr="00312C29">
        <w:rPr>
          <w:i/>
          <w:szCs w:val="24"/>
        </w:rPr>
        <w:t xml:space="preserve">The rule prohibits a creditor or any other person from paying, directly or indirectly, compensation to a mortgage broker or any other loan originator that is based on a mortgage transaction's terms or conditions, except the amount of credit extended. </w:t>
      </w:r>
    </w:p>
    <w:p w:rsidR="00312C29" w:rsidRPr="00312C29" w:rsidRDefault="00312C29" w:rsidP="00312C29">
      <w:pPr>
        <w:pStyle w:val="ListParagraph"/>
        <w:autoSpaceDE w:val="0"/>
        <w:autoSpaceDN w:val="0"/>
        <w:adjustRightInd w:val="0"/>
        <w:ind w:left="2160" w:right="1170"/>
        <w:jc w:val="both"/>
        <w:rPr>
          <w:i/>
          <w:szCs w:val="24"/>
        </w:rPr>
      </w:pPr>
    </w:p>
    <w:p w:rsidR="00312C29" w:rsidRPr="00312C29" w:rsidRDefault="00312C29" w:rsidP="00312C29">
      <w:pPr>
        <w:pStyle w:val="ListParagraph"/>
        <w:autoSpaceDE w:val="0"/>
        <w:autoSpaceDN w:val="0"/>
        <w:adjustRightInd w:val="0"/>
        <w:ind w:left="2160" w:right="1170"/>
        <w:jc w:val="both"/>
        <w:rPr>
          <w:i/>
          <w:szCs w:val="24"/>
        </w:rPr>
      </w:pPr>
      <w:r w:rsidRPr="00312C29">
        <w:rPr>
          <w:i/>
          <w:szCs w:val="24"/>
        </w:rPr>
        <w:t xml:space="preserve">A loan originator's compensation can neither be increased nor decreased based on the loan terms or conditions. When the creditor offers to extend a loan with specified terms and conditions (such as rate and points), the amount of the originator's compensation for that transaction is not subject to change, based on either an increase or a decrease in the consumer's loan cost or any other change in the loan terms. Thus, if a consumer's request for a lower interest rate is accepted by the creditor, the creditor is not </w:t>
      </w:r>
      <w:r w:rsidR="00843EAA">
        <w:rPr>
          <w:i/>
          <w:szCs w:val="24"/>
        </w:rPr>
        <w:t>[</w:t>
      </w:r>
      <w:r w:rsidRPr="00312C29">
        <w:rPr>
          <w:i/>
          <w:szCs w:val="24"/>
        </w:rPr>
        <w:t>be</w:t>
      </w:r>
      <w:r w:rsidR="00843EAA">
        <w:rPr>
          <w:i/>
          <w:szCs w:val="24"/>
        </w:rPr>
        <w:t>]</w:t>
      </w:r>
      <w:r w:rsidRPr="00312C29">
        <w:rPr>
          <w:i/>
          <w:szCs w:val="24"/>
        </w:rPr>
        <w:t xml:space="preserve"> permitted to reduce the amount it pays to the loan originator based on the change in loan terms. Similarly, any reduction in origination points paid by the consumer must be a cost borne by the creditor. </w:t>
      </w:r>
    </w:p>
    <w:p w:rsidR="00312C29" w:rsidRPr="00312C29" w:rsidRDefault="00312C29" w:rsidP="00312C29">
      <w:pPr>
        <w:pStyle w:val="ListParagraph"/>
        <w:autoSpaceDE w:val="0"/>
        <w:autoSpaceDN w:val="0"/>
        <w:adjustRightInd w:val="0"/>
        <w:ind w:left="2160" w:right="1170"/>
        <w:jc w:val="both"/>
        <w:rPr>
          <w:i/>
          <w:szCs w:val="24"/>
        </w:rPr>
      </w:pPr>
    </w:p>
    <w:p w:rsidR="00312C29" w:rsidRPr="00312C29" w:rsidRDefault="00312C29" w:rsidP="00312C29">
      <w:pPr>
        <w:pStyle w:val="ListParagraph"/>
        <w:autoSpaceDE w:val="0"/>
        <w:autoSpaceDN w:val="0"/>
        <w:adjustRightInd w:val="0"/>
        <w:ind w:left="2160" w:right="1170"/>
        <w:jc w:val="both"/>
        <w:rPr>
          <w:i/>
          <w:szCs w:val="24"/>
        </w:rPr>
      </w:pPr>
      <w:r w:rsidRPr="00312C29">
        <w:rPr>
          <w:i/>
          <w:szCs w:val="24"/>
        </w:rPr>
        <w:t xml:space="preserve">(d)(2) Payments by persons other than consumer.  </w:t>
      </w:r>
    </w:p>
    <w:p w:rsidR="00312C29" w:rsidRPr="00312C29" w:rsidRDefault="00312C29" w:rsidP="00312C29">
      <w:pPr>
        <w:pStyle w:val="ListParagraph"/>
        <w:autoSpaceDE w:val="0"/>
        <w:autoSpaceDN w:val="0"/>
        <w:adjustRightInd w:val="0"/>
        <w:ind w:left="2160" w:right="1170"/>
        <w:jc w:val="both"/>
        <w:rPr>
          <w:i/>
          <w:szCs w:val="24"/>
        </w:rPr>
      </w:pPr>
    </w:p>
    <w:p w:rsidR="00312C29" w:rsidRPr="00312C29" w:rsidRDefault="00312C29" w:rsidP="00312C29">
      <w:pPr>
        <w:pStyle w:val="ListParagraph"/>
        <w:autoSpaceDE w:val="0"/>
        <w:autoSpaceDN w:val="0"/>
        <w:adjustRightInd w:val="0"/>
        <w:ind w:left="2160" w:right="1170"/>
        <w:jc w:val="both"/>
        <w:rPr>
          <w:i/>
          <w:szCs w:val="24"/>
        </w:rPr>
      </w:pPr>
      <w:r w:rsidRPr="00312C29">
        <w:rPr>
          <w:i/>
          <w:szCs w:val="24"/>
        </w:rPr>
        <w:lastRenderedPageBreak/>
        <w:t xml:space="preserve">If any loan originator receives compensation directly from a consumer in a transaction, no other person may provide any compensation to a loan originator, directly or indirectly, in connection with that particular credit transaction.  Thus, no person who knows or has reason to know of the consumer-paid compensation to the loan originator (other than the consumer) may pay any compensation to a loan originator, directly or indirectly, in connection with the transaction. </w:t>
      </w:r>
    </w:p>
    <w:p w:rsidR="00312C29" w:rsidRPr="00312C29" w:rsidRDefault="00312C29" w:rsidP="00312C29">
      <w:pPr>
        <w:pStyle w:val="ListParagraph"/>
        <w:autoSpaceDE w:val="0"/>
        <w:autoSpaceDN w:val="0"/>
        <w:adjustRightInd w:val="0"/>
        <w:ind w:left="2160" w:right="1170"/>
        <w:jc w:val="both"/>
        <w:rPr>
          <w:i/>
          <w:szCs w:val="24"/>
        </w:rPr>
      </w:pPr>
    </w:p>
    <w:p w:rsidR="00312C29" w:rsidRPr="00312C29" w:rsidRDefault="00312C29" w:rsidP="00312C29">
      <w:pPr>
        <w:pStyle w:val="ListParagraph"/>
        <w:autoSpaceDE w:val="0"/>
        <w:autoSpaceDN w:val="0"/>
        <w:adjustRightInd w:val="0"/>
        <w:ind w:left="2160" w:right="1170"/>
        <w:jc w:val="both"/>
        <w:rPr>
          <w:i/>
          <w:szCs w:val="24"/>
        </w:rPr>
      </w:pPr>
      <w:r w:rsidRPr="00312C29">
        <w:rPr>
          <w:i/>
          <w:szCs w:val="24"/>
        </w:rPr>
        <w:t xml:space="preserve">For purposes of this rule, payments made by creditors to loan originators are not payments made directly by the consumer, regardless of how they might be disclosed under HUD's Regulation X, which implements the Real Estate Settlement Procedures Act (RESPA). </w:t>
      </w:r>
      <w:r w:rsidR="00303A15">
        <w:rPr>
          <w:rStyle w:val="FootnoteReference"/>
          <w:i/>
          <w:szCs w:val="24"/>
        </w:rPr>
        <w:footnoteReference w:id="21"/>
      </w:r>
    </w:p>
    <w:p w:rsidR="00312C29" w:rsidRDefault="00312C29" w:rsidP="00312C29">
      <w:pPr>
        <w:pStyle w:val="ListParagraph"/>
        <w:autoSpaceDE w:val="0"/>
        <w:autoSpaceDN w:val="0"/>
        <w:adjustRightInd w:val="0"/>
        <w:ind w:left="2160" w:right="1170"/>
        <w:jc w:val="both"/>
        <w:rPr>
          <w:i/>
          <w:szCs w:val="24"/>
        </w:rPr>
      </w:pPr>
    </w:p>
    <w:p w:rsidR="00F82E68" w:rsidRDefault="00303A15" w:rsidP="00312C29">
      <w:pPr>
        <w:pStyle w:val="ListParagraph"/>
        <w:autoSpaceDE w:val="0"/>
        <w:autoSpaceDN w:val="0"/>
        <w:adjustRightInd w:val="0"/>
        <w:ind w:left="2160" w:right="1170"/>
        <w:jc w:val="both"/>
        <w:rPr>
          <w:i/>
          <w:sz w:val="24"/>
          <w:szCs w:val="24"/>
        </w:rPr>
      </w:pPr>
      <w:r>
        <w:rPr>
          <w:sz w:val="24"/>
          <w:szCs w:val="24"/>
        </w:rPr>
        <w:t xml:space="preserve">New rules effective January 10, 2014 expand the definition of a loan originator to </w:t>
      </w:r>
      <w:r w:rsidR="00944995" w:rsidRPr="00944995">
        <w:rPr>
          <w:i/>
          <w:sz w:val="24"/>
          <w:szCs w:val="24"/>
        </w:rPr>
        <w:t>“a person who, in expectation of direct or indirect compensation or other monetary gain or for direct or indirect compensation or other monetary gain, performs any of the following activities: takes an application, offers, arranges, assists a consumer in obtaining or applying to obtain, negotiates, or otherwise obtains or makes an extension of consumer credit for another person; or through advertising or other means of communication represents to the public that such person can or will perform any of these activities</w:t>
      </w:r>
      <w:r w:rsidRPr="00303A15">
        <w:rPr>
          <w:sz w:val="24"/>
          <w:szCs w:val="24"/>
        </w:rPr>
        <w:t>. </w:t>
      </w:r>
      <w:r>
        <w:rPr>
          <w:sz w:val="24"/>
          <w:szCs w:val="24"/>
        </w:rPr>
        <w:t>“</w:t>
      </w:r>
      <w:r>
        <w:rPr>
          <w:rStyle w:val="FootnoteReference"/>
          <w:sz w:val="24"/>
          <w:szCs w:val="24"/>
        </w:rPr>
        <w:footnoteReference w:id="22"/>
      </w:r>
      <w:r>
        <w:rPr>
          <w:sz w:val="24"/>
          <w:szCs w:val="24"/>
        </w:rPr>
        <w:t xml:space="preserve">  This includes employees, agents and contractors working for a creditor</w:t>
      </w:r>
      <w:r w:rsidR="00A3117A">
        <w:rPr>
          <w:sz w:val="24"/>
          <w:szCs w:val="24"/>
        </w:rPr>
        <w:t xml:space="preserve"> or originator company.  It also includes a creditor that originates loans </w:t>
      </w:r>
      <w:r w:rsidR="00944995" w:rsidRPr="00944995">
        <w:rPr>
          <w:i/>
          <w:sz w:val="24"/>
          <w:szCs w:val="24"/>
        </w:rPr>
        <w:t>“if the creditor does not finance the transaction at consummation out of the creditor's own resources, including by drawing on a </w:t>
      </w:r>
      <w:r w:rsidR="00AE2DFB">
        <w:rPr>
          <w:i/>
          <w:iCs/>
          <w:sz w:val="24"/>
          <w:szCs w:val="24"/>
        </w:rPr>
        <w:t>bona fide</w:t>
      </w:r>
      <w:r w:rsidR="00944995" w:rsidRPr="00944995">
        <w:rPr>
          <w:i/>
          <w:sz w:val="24"/>
          <w:szCs w:val="24"/>
        </w:rPr>
        <w:t> warehouse line of credit or out of deposits held by the creditor.”</w:t>
      </w:r>
      <w:r w:rsidR="00F26AEC">
        <w:rPr>
          <w:rStyle w:val="FootnoteReference"/>
          <w:i/>
          <w:sz w:val="24"/>
          <w:szCs w:val="24"/>
        </w:rPr>
        <w:footnoteReference w:id="23"/>
      </w:r>
    </w:p>
    <w:p w:rsidR="00843EAA" w:rsidRPr="00854F12" w:rsidRDefault="00843EAA" w:rsidP="00312C29">
      <w:pPr>
        <w:pStyle w:val="ListParagraph"/>
        <w:autoSpaceDE w:val="0"/>
        <w:autoSpaceDN w:val="0"/>
        <w:adjustRightInd w:val="0"/>
        <w:ind w:left="2160" w:right="1170"/>
        <w:jc w:val="both"/>
        <w:rPr>
          <w:rFonts w:asciiTheme="majorHAnsi" w:hAnsiTheme="majorHAnsi"/>
          <w:sz w:val="36"/>
          <w:szCs w:val="36"/>
        </w:rPr>
      </w:pPr>
    </w:p>
    <w:p w:rsidR="00D96EAC" w:rsidRDefault="00D96EAC" w:rsidP="00D96EAC">
      <w:pPr>
        <w:pStyle w:val="Heading3"/>
      </w:pPr>
    </w:p>
    <w:p w:rsidR="00312C29" w:rsidRPr="00312C29" w:rsidRDefault="00022274" w:rsidP="00D96EAC">
      <w:pPr>
        <w:pStyle w:val="Heading3"/>
        <w:rPr>
          <w:i w:val="0"/>
          <w:szCs w:val="24"/>
        </w:rPr>
      </w:pPr>
      <w:r>
        <w:t xml:space="preserve"> </w:t>
      </w:r>
      <w:r w:rsidR="00F623A5">
        <w:t>1026</w:t>
      </w:r>
      <w:r w:rsidR="00854F12" w:rsidRPr="006F0CA2">
        <w:t>.36</w:t>
      </w:r>
      <w:r w:rsidR="00E55103" w:rsidRPr="006F0CA2">
        <w:t xml:space="preserve">(e) Prohibition on </w:t>
      </w:r>
      <w:r w:rsidR="00DC057C">
        <w:t>S</w:t>
      </w:r>
      <w:r w:rsidR="00DC057C" w:rsidRPr="006F0CA2">
        <w:t>teering</w:t>
      </w:r>
      <w:r w:rsidR="00E55103" w:rsidRPr="006F0CA2">
        <w:t xml:space="preserve"> </w:t>
      </w:r>
    </w:p>
    <w:p w:rsidR="00312C29" w:rsidRPr="00312C29" w:rsidRDefault="00312C29" w:rsidP="00312C29">
      <w:pPr>
        <w:pStyle w:val="ListParagraph"/>
        <w:autoSpaceDE w:val="0"/>
        <w:autoSpaceDN w:val="0"/>
        <w:adjustRightInd w:val="0"/>
        <w:ind w:left="2160" w:right="1170"/>
        <w:jc w:val="both"/>
        <w:rPr>
          <w:i/>
          <w:szCs w:val="24"/>
        </w:rPr>
      </w:pPr>
      <w:proofErr w:type="gramStart"/>
      <w:r w:rsidRPr="00312C29">
        <w:rPr>
          <w:i/>
          <w:szCs w:val="24"/>
        </w:rPr>
        <w:t xml:space="preserve">Prohibits a loan originator from </w:t>
      </w:r>
      <w:r w:rsidR="00843EAA">
        <w:rPr>
          <w:i/>
          <w:szCs w:val="24"/>
        </w:rPr>
        <w:t>‘</w:t>
      </w:r>
      <w:r w:rsidRPr="00312C29">
        <w:rPr>
          <w:i/>
          <w:szCs w:val="24"/>
        </w:rPr>
        <w:t>steering</w:t>
      </w:r>
      <w:r w:rsidR="00843EAA">
        <w:rPr>
          <w:i/>
          <w:szCs w:val="24"/>
        </w:rPr>
        <w:t>’</w:t>
      </w:r>
      <w:r w:rsidR="00843EAA" w:rsidRPr="00312C29">
        <w:rPr>
          <w:i/>
          <w:szCs w:val="24"/>
        </w:rPr>
        <w:t xml:space="preserve"> </w:t>
      </w:r>
      <w:r w:rsidRPr="00312C29">
        <w:rPr>
          <w:i/>
          <w:szCs w:val="24"/>
        </w:rPr>
        <w:t>a consumer to a lender offering less favorable terms in order to increase the loan originator's compensation.</w:t>
      </w:r>
      <w:proofErr w:type="gramEnd"/>
      <w:r w:rsidRPr="00312C29">
        <w:rPr>
          <w:i/>
          <w:szCs w:val="24"/>
        </w:rPr>
        <w:t xml:space="preserve"> </w:t>
      </w:r>
    </w:p>
    <w:p w:rsidR="00312C29" w:rsidRPr="00312C29" w:rsidRDefault="00312C29" w:rsidP="00312C29">
      <w:pPr>
        <w:pStyle w:val="ListParagraph"/>
        <w:autoSpaceDE w:val="0"/>
        <w:autoSpaceDN w:val="0"/>
        <w:adjustRightInd w:val="0"/>
        <w:ind w:left="2160" w:right="1170"/>
        <w:jc w:val="both"/>
        <w:rPr>
          <w:i/>
          <w:szCs w:val="24"/>
        </w:rPr>
      </w:pPr>
    </w:p>
    <w:p w:rsidR="00312C29" w:rsidRPr="00312C29" w:rsidRDefault="00312C29" w:rsidP="00312C29">
      <w:pPr>
        <w:pStyle w:val="ListParagraph"/>
        <w:autoSpaceDE w:val="0"/>
        <w:autoSpaceDN w:val="0"/>
        <w:adjustRightInd w:val="0"/>
        <w:ind w:left="2160" w:right="1170"/>
        <w:jc w:val="both"/>
        <w:rPr>
          <w:i/>
          <w:szCs w:val="24"/>
        </w:rPr>
      </w:pPr>
      <w:proofErr w:type="gramStart"/>
      <w:r w:rsidRPr="00312C29">
        <w:rPr>
          <w:i/>
          <w:szCs w:val="24"/>
        </w:rPr>
        <w:t>Provides a safe harbor to facilitate compliance.</w:t>
      </w:r>
      <w:proofErr w:type="gramEnd"/>
      <w:r w:rsidRPr="00312C29">
        <w:rPr>
          <w:i/>
          <w:szCs w:val="24"/>
        </w:rPr>
        <w:t xml:space="preserve"> The safe harbor is met if the consumer is presented with loan offers for each type of transaction in which the consumer expresses an interest (that is, a </w:t>
      </w:r>
      <w:r w:rsidR="00843EAA" w:rsidRPr="00312C29">
        <w:rPr>
          <w:i/>
          <w:szCs w:val="24"/>
        </w:rPr>
        <w:t>fixed</w:t>
      </w:r>
      <w:r w:rsidR="00843EAA">
        <w:rPr>
          <w:i/>
          <w:szCs w:val="24"/>
        </w:rPr>
        <w:t>-</w:t>
      </w:r>
      <w:r w:rsidRPr="00312C29">
        <w:rPr>
          <w:i/>
          <w:szCs w:val="24"/>
        </w:rPr>
        <w:t xml:space="preserve">rate loan, </w:t>
      </w:r>
      <w:r w:rsidR="00843EAA">
        <w:rPr>
          <w:i/>
          <w:szCs w:val="24"/>
        </w:rPr>
        <w:t xml:space="preserve">an </w:t>
      </w:r>
      <w:r w:rsidR="00843EAA" w:rsidRPr="00312C29">
        <w:rPr>
          <w:i/>
          <w:szCs w:val="24"/>
        </w:rPr>
        <w:t>adjustable</w:t>
      </w:r>
      <w:r w:rsidR="00843EAA">
        <w:rPr>
          <w:i/>
          <w:szCs w:val="24"/>
        </w:rPr>
        <w:t>-</w:t>
      </w:r>
      <w:r w:rsidRPr="00312C29">
        <w:rPr>
          <w:i/>
          <w:szCs w:val="24"/>
        </w:rPr>
        <w:t xml:space="preserve">rate loan, or a reverse mortgage); and the loan options presented to the consumer include: </w:t>
      </w:r>
    </w:p>
    <w:p w:rsidR="00312C29" w:rsidRPr="00312C29" w:rsidRDefault="00312C29" w:rsidP="00312C29">
      <w:pPr>
        <w:pStyle w:val="ListParagraph"/>
        <w:autoSpaceDE w:val="0"/>
        <w:autoSpaceDN w:val="0"/>
        <w:adjustRightInd w:val="0"/>
        <w:ind w:left="2160" w:right="1170"/>
        <w:jc w:val="both"/>
        <w:rPr>
          <w:i/>
          <w:szCs w:val="24"/>
        </w:rPr>
      </w:pPr>
    </w:p>
    <w:p w:rsidR="00312C29" w:rsidRPr="00312C29" w:rsidRDefault="00312C29" w:rsidP="00312C29">
      <w:pPr>
        <w:pStyle w:val="ListParagraph"/>
        <w:autoSpaceDE w:val="0"/>
        <w:autoSpaceDN w:val="0"/>
        <w:adjustRightInd w:val="0"/>
        <w:ind w:left="2160" w:right="1170"/>
        <w:jc w:val="both"/>
        <w:rPr>
          <w:i/>
          <w:szCs w:val="24"/>
        </w:rPr>
      </w:pPr>
      <w:r w:rsidRPr="00312C29">
        <w:rPr>
          <w:i/>
          <w:szCs w:val="24"/>
        </w:rPr>
        <w:t xml:space="preserve">(A) </w:t>
      </w:r>
      <w:proofErr w:type="gramStart"/>
      <w:r w:rsidRPr="00312C29">
        <w:rPr>
          <w:i/>
          <w:szCs w:val="24"/>
        </w:rPr>
        <w:t>the</w:t>
      </w:r>
      <w:proofErr w:type="gramEnd"/>
      <w:r w:rsidRPr="00312C29">
        <w:rPr>
          <w:i/>
          <w:szCs w:val="24"/>
        </w:rPr>
        <w:t xml:space="preserve"> loan with the lowest interest rate for which the consumer qualifies; </w:t>
      </w:r>
    </w:p>
    <w:p w:rsidR="00312C29" w:rsidRPr="00312C29" w:rsidRDefault="00312C29" w:rsidP="00312C29">
      <w:pPr>
        <w:pStyle w:val="ListParagraph"/>
        <w:autoSpaceDE w:val="0"/>
        <w:autoSpaceDN w:val="0"/>
        <w:adjustRightInd w:val="0"/>
        <w:ind w:left="2160" w:right="1170"/>
        <w:jc w:val="both"/>
        <w:rPr>
          <w:i/>
          <w:szCs w:val="24"/>
        </w:rPr>
      </w:pPr>
    </w:p>
    <w:p w:rsidR="00312C29" w:rsidRPr="00312C29" w:rsidRDefault="00312C29" w:rsidP="00312C29">
      <w:pPr>
        <w:pStyle w:val="ListParagraph"/>
        <w:autoSpaceDE w:val="0"/>
        <w:autoSpaceDN w:val="0"/>
        <w:adjustRightInd w:val="0"/>
        <w:ind w:left="2160" w:right="1170"/>
        <w:jc w:val="both"/>
        <w:rPr>
          <w:i/>
          <w:szCs w:val="24"/>
        </w:rPr>
      </w:pPr>
      <w:r w:rsidRPr="00312C29">
        <w:rPr>
          <w:i/>
          <w:szCs w:val="24"/>
        </w:rPr>
        <w:t xml:space="preserve">(B) </w:t>
      </w:r>
      <w:proofErr w:type="gramStart"/>
      <w:r w:rsidRPr="00312C29">
        <w:rPr>
          <w:i/>
          <w:szCs w:val="24"/>
        </w:rPr>
        <w:t>the</w:t>
      </w:r>
      <w:proofErr w:type="gramEnd"/>
      <w:r w:rsidRPr="00312C29">
        <w:rPr>
          <w:i/>
          <w:szCs w:val="24"/>
        </w:rPr>
        <w:t xml:space="preserve"> loan with the lowest total dollar amount for origination points or fees, and discount points, and </w:t>
      </w:r>
    </w:p>
    <w:p w:rsidR="00312C29" w:rsidRPr="00312C29" w:rsidRDefault="00312C29" w:rsidP="00312C29">
      <w:pPr>
        <w:pStyle w:val="ListParagraph"/>
        <w:autoSpaceDE w:val="0"/>
        <w:autoSpaceDN w:val="0"/>
        <w:adjustRightInd w:val="0"/>
        <w:ind w:left="2160" w:right="1170"/>
        <w:jc w:val="both"/>
        <w:rPr>
          <w:i/>
          <w:szCs w:val="24"/>
        </w:rPr>
      </w:pPr>
    </w:p>
    <w:p w:rsidR="00312C29" w:rsidRPr="00312C29" w:rsidRDefault="00312C29" w:rsidP="00312C29">
      <w:pPr>
        <w:pStyle w:val="ListParagraph"/>
        <w:autoSpaceDE w:val="0"/>
        <w:autoSpaceDN w:val="0"/>
        <w:adjustRightInd w:val="0"/>
        <w:ind w:left="2160" w:right="1170"/>
        <w:jc w:val="both"/>
        <w:rPr>
          <w:i/>
          <w:szCs w:val="24"/>
        </w:rPr>
      </w:pPr>
      <w:r w:rsidRPr="00312C29">
        <w:rPr>
          <w:i/>
          <w:szCs w:val="24"/>
        </w:rPr>
        <w:t xml:space="preserve">(C) the loan with the lowest rate for which the consumer qualifies for a loan without negative amortization, a prepayment penalty, interest-only payments, a balloon payment in the first 7 years of the life of the loan, a demand feature, shared equity, or shared appreciation; or, in the case of a reverse mortgage, a loan without a prepayment penalty, or shared equity or shared appreciation. </w:t>
      </w:r>
    </w:p>
    <w:p w:rsidR="00312C29" w:rsidRPr="00312C29" w:rsidRDefault="00312C29" w:rsidP="00312C29">
      <w:pPr>
        <w:pStyle w:val="ListParagraph"/>
        <w:autoSpaceDE w:val="0"/>
        <w:autoSpaceDN w:val="0"/>
        <w:adjustRightInd w:val="0"/>
        <w:ind w:left="2160" w:right="1170"/>
        <w:jc w:val="both"/>
        <w:rPr>
          <w:i/>
          <w:szCs w:val="24"/>
        </w:rPr>
      </w:pPr>
    </w:p>
    <w:p w:rsidR="00312C29" w:rsidRPr="00312C29" w:rsidRDefault="00312C29" w:rsidP="00312C29">
      <w:pPr>
        <w:pStyle w:val="ListParagraph"/>
        <w:autoSpaceDE w:val="0"/>
        <w:autoSpaceDN w:val="0"/>
        <w:adjustRightInd w:val="0"/>
        <w:ind w:left="2160" w:right="1170"/>
        <w:jc w:val="both"/>
        <w:rPr>
          <w:i/>
          <w:szCs w:val="24"/>
        </w:rPr>
      </w:pPr>
      <w:r w:rsidRPr="00312C29">
        <w:rPr>
          <w:i/>
          <w:szCs w:val="24"/>
        </w:rPr>
        <w:t xml:space="preserve">To be within the safe harbor, the loan originator must obtain loan options from a significant number of the creditors with which the originator regularly does business. The loan originator can present fewer than three loans and satisfy the safe harbor, if the loan(s) presented to the consumer otherwise meet the criteria in the rule. </w:t>
      </w:r>
    </w:p>
    <w:p w:rsidR="00312C29" w:rsidRPr="00312C29" w:rsidRDefault="00312C29" w:rsidP="00312C29">
      <w:pPr>
        <w:pStyle w:val="ListParagraph"/>
        <w:autoSpaceDE w:val="0"/>
        <w:autoSpaceDN w:val="0"/>
        <w:adjustRightInd w:val="0"/>
        <w:ind w:left="2160" w:right="1170"/>
        <w:jc w:val="both"/>
        <w:rPr>
          <w:i/>
          <w:szCs w:val="24"/>
        </w:rPr>
      </w:pPr>
    </w:p>
    <w:p w:rsidR="00312C29" w:rsidRPr="00AD1870" w:rsidRDefault="00312C29" w:rsidP="00312C29">
      <w:pPr>
        <w:pStyle w:val="ListParagraph"/>
        <w:autoSpaceDE w:val="0"/>
        <w:autoSpaceDN w:val="0"/>
        <w:adjustRightInd w:val="0"/>
        <w:ind w:left="2160" w:right="1170"/>
        <w:jc w:val="both"/>
        <w:rPr>
          <w:szCs w:val="24"/>
        </w:rPr>
        <w:sectPr w:rsidR="00312C29" w:rsidRPr="00AD1870" w:rsidSect="00491C63">
          <w:headerReference w:type="default" r:id="rId30"/>
          <w:pgSz w:w="12240" w:h="15840"/>
          <w:pgMar w:top="1440" w:right="720" w:bottom="1440" w:left="720" w:header="720" w:footer="720" w:gutter="0"/>
          <w:cols w:space="720"/>
          <w:docGrid w:linePitch="360"/>
        </w:sectPr>
      </w:pPr>
      <w:r w:rsidRPr="00312C29">
        <w:rPr>
          <w:i/>
          <w:szCs w:val="24"/>
        </w:rPr>
        <w:t>The loan originator must have a good faith belief that the options presented to the consumer are loans for which the consumer likely qualifies. For each type of transaction, if the originator presents to the consumer more than three loans, the originator must highlight the loans that satisfy the criteria specified in the rule.”</w:t>
      </w:r>
      <w:r w:rsidR="00303A15">
        <w:rPr>
          <w:rStyle w:val="FootnoteReference"/>
          <w:i/>
          <w:szCs w:val="24"/>
        </w:rPr>
        <w:footnoteReference w:id="24"/>
      </w:r>
    </w:p>
    <w:p w:rsidR="00AF7B92" w:rsidRDefault="00936F1B" w:rsidP="00AF7B92">
      <w:pPr>
        <w:pStyle w:val="Title"/>
        <w:rPr>
          <w:sz w:val="44"/>
        </w:rPr>
      </w:pPr>
      <w:r w:rsidRPr="00AF7B92">
        <w:rPr>
          <w:sz w:val="44"/>
        </w:rPr>
        <w:lastRenderedPageBreak/>
        <w:t>HOEPA – HOME OWNERSHIP AND EQUITY PROTECTION ACT (amendments to TILA from 1994-2009)</w:t>
      </w:r>
      <w:bookmarkStart w:id="160" w:name="_Hlk305761711"/>
    </w:p>
    <w:p w:rsidR="00936F1B" w:rsidRPr="00AF7B92" w:rsidRDefault="00370EA4" w:rsidP="00AF7B92">
      <w:pPr>
        <w:pStyle w:val="Title"/>
        <w:rPr>
          <w:sz w:val="44"/>
        </w:rPr>
      </w:pPr>
      <w:hyperlink r:id="rId31" w:history="1">
        <w:r w:rsidR="00936F1B" w:rsidRPr="00222B59">
          <w:rPr>
            <w:rStyle w:val="Hyperlink"/>
            <w:rFonts w:cs="Calibri"/>
            <w:sz w:val="24"/>
            <w:szCs w:val="24"/>
          </w:rPr>
          <w:t>http://www.federalreserve.gov/bankinforeg/reglisting.htm</w:t>
        </w:r>
      </w:hyperlink>
    </w:p>
    <w:bookmarkEnd w:id="160"/>
    <w:p w:rsidR="00936F1B" w:rsidRDefault="00936F1B" w:rsidP="00936F1B">
      <w:pPr>
        <w:autoSpaceDE w:val="0"/>
        <w:autoSpaceDN w:val="0"/>
        <w:adjustRightInd w:val="0"/>
        <w:ind w:left="1080" w:right="1170"/>
        <w:rPr>
          <w:rFonts w:cs="Calibri"/>
          <w:color w:val="0000FF"/>
          <w:sz w:val="24"/>
          <w:szCs w:val="24"/>
          <w:u w:val="single"/>
        </w:rPr>
      </w:pPr>
    </w:p>
    <w:p w:rsidR="00936F1B" w:rsidRPr="00AF7B92" w:rsidRDefault="00936F1B" w:rsidP="00AF7B92">
      <w:pPr>
        <w:pStyle w:val="Heading1"/>
      </w:pPr>
      <w:bookmarkStart w:id="161" w:name="_Toc393811645"/>
      <w:r w:rsidRPr="00AF7B92">
        <w:t>HOEPA and Predatory Lending (Part</w:t>
      </w:r>
      <w:r w:rsidR="00944EFB" w:rsidRPr="00AF7B92">
        <w:t>s</w:t>
      </w:r>
      <w:r w:rsidRPr="00AF7B92">
        <w:t xml:space="preserve"> </w:t>
      </w:r>
      <w:r w:rsidR="00F623A5" w:rsidRPr="00AF7B92">
        <w:t>1026</w:t>
      </w:r>
      <w:r w:rsidRPr="00AF7B92">
        <w:t xml:space="preserve">.32 and </w:t>
      </w:r>
      <w:r w:rsidR="00F623A5" w:rsidRPr="00AF7B92">
        <w:t>1026</w:t>
      </w:r>
      <w:r w:rsidRPr="00AF7B92">
        <w:t>.35)</w:t>
      </w:r>
      <w:bookmarkEnd w:id="161"/>
    </w:p>
    <w:p w:rsidR="00936F1B" w:rsidRDefault="00936F1B" w:rsidP="00936F1B">
      <w:pPr>
        <w:pStyle w:val="ListParagraph"/>
        <w:autoSpaceDE w:val="0"/>
        <w:autoSpaceDN w:val="0"/>
        <w:adjustRightInd w:val="0"/>
        <w:ind w:left="1080" w:right="1170"/>
        <w:rPr>
          <w:rFonts w:ascii="Humnst777 Lt BT" w:hAnsi="Humnst777 Lt BT"/>
          <w:color w:val="365F91" w:themeColor="accent1" w:themeShade="BF"/>
          <w:sz w:val="36"/>
          <w:szCs w:val="36"/>
        </w:rPr>
      </w:pPr>
    </w:p>
    <w:p w:rsidR="00936F1B" w:rsidRDefault="008911C3" w:rsidP="008911C3">
      <w:pPr>
        <w:pStyle w:val="Heading2"/>
        <w:numPr>
          <w:ilvl w:val="0"/>
          <w:numId w:val="0"/>
        </w:numPr>
        <w:ind w:left="1080"/>
      </w:pPr>
      <w:bookmarkStart w:id="162" w:name="_Toc393811646"/>
      <w:r>
        <w:t xml:space="preserve">A. </w:t>
      </w:r>
      <w:r w:rsidR="00DC057C">
        <w:t xml:space="preserve">Predatory Lending </w:t>
      </w:r>
      <w:r w:rsidR="00936F1B" w:rsidRPr="00936F1B">
        <w:t>Background</w:t>
      </w:r>
      <w:bookmarkEnd w:id="162"/>
    </w:p>
    <w:p w:rsidR="00936F1B" w:rsidRDefault="00936F1B" w:rsidP="00936F1B">
      <w:pPr>
        <w:autoSpaceDE w:val="0"/>
        <w:autoSpaceDN w:val="0"/>
        <w:adjustRightInd w:val="0"/>
        <w:ind w:left="1080" w:right="1170"/>
        <w:jc w:val="both"/>
        <w:rPr>
          <w:sz w:val="24"/>
          <w:szCs w:val="24"/>
        </w:rPr>
      </w:pPr>
      <w:r w:rsidRPr="00936F1B">
        <w:rPr>
          <w:sz w:val="24"/>
          <w:szCs w:val="24"/>
        </w:rPr>
        <w:t xml:space="preserve">Amidst the rapid growth of subprime lending, in 1994 Congress passed the Home Ownership and Equity Protection Act (HOEPA) to help curb predatory lending.  HOEPA is an amendment to the Truth in Lending Act (TILA).  Two significant additional amendments of HOEPA were completed in 2002 and 2008.  Most TILA amendments have been aimed at preventing the exploitation of borrowers due to predatory lending practices.  </w:t>
      </w:r>
    </w:p>
    <w:p w:rsidR="00936F1B" w:rsidRPr="00936F1B" w:rsidRDefault="00936F1B" w:rsidP="00936F1B">
      <w:pPr>
        <w:autoSpaceDE w:val="0"/>
        <w:autoSpaceDN w:val="0"/>
        <w:adjustRightInd w:val="0"/>
        <w:ind w:left="1080" w:right="1170"/>
        <w:jc w:val="both"/>
        <w:rPr>
          <w:sz w:val="24"/>
          <w:szCs w:val="24"/>
        </w:rPr>
      </w:pPr>
    </w:p>
    <w:p w:rsidR="00936F1B" w:rsidRDefault="00936F1B" w:rsidP="00936F1B">
      <w:pPr>
        <w:autoSpaceDE w:val="0"/>
        <w:autoSpaceDN w:val="0"/>
        <w:adjustRightInd w:val="0"/>
        <w:ind w:left="1080" w:right="1170"/>
        <w:jc w:val="both"/>
        <w:rPr>
          <w:sz w:val="24"/>
          <w:szCs w:val="24"/>
        </w:rPr>
      </w:pPr>
      <w:r w:rsidRPr="00936F1B">
        <w:rPr>
          <w:sz w:val="24"/>
          <w:szCs w:val="24"/>
        </w:rPr>
        <w:t>HOEPA defines specific classes of loans, called Higher-Priced and High-Cost loans, which legislators deemed more vulnerable to predatory lending tactics</w:t>
      </w:r>
      <w:r w:rsidR="00843EAA">
        <w:rPr>
          <w:sz w:val="24"/>
          <w:szCs w:val="24"/>
        </w:rPr>
        <w:t>,</w:t>
      </w:r>
      <w:r w:rsidRPr="00936F1B">
        <w:rPr>
          <w:sz w:val="24"/>
          <w:szCs w:val="24"/>
        </w:rPr>
        <w:t xml:space="preserve"> and prescribes a set of rules above and beyond the standard credit tolerances applicable to all loans.  The </w:t>
      </w:r>
      <w:r w:rsidR="00944EFB">
        <w:rPr>
          <w:sz w:val="24"/>
          <w:szCs w:val="24"/>
        </w:rPr>
        <w:t>types of</w:t>
      </w:r>
      <w:r w:rsidRPr="00936F1B">
        <w:rPr>
          <w:sz w:val="24"/>
          <w:szCs w:val="24"/>
        </w:rPr>
        <w:t xml:space="preserve"> loans covered </w:t>
      </w:r>
      <w:r w:rsidR="00944EFB">
        <w:rPr>
          <w:sz w:val="24"/>
          <w:szCs w:val="24"/>
        </w:rPr>
        <w:t>depend</w:t>
      </w:r>
      <w:r w:rsidR="00944EFB" w:rsidRPr="00936F1B">
        <w:rPr>
          <w:sz w:val="24"/>
          <w:szCs w:val="24"/>
        </w:rPr>
        <w:t xml:space="preserve"> </w:t>
      </w:r>
      <w:r w:rsidRPr="00936F1B">
        <w:rPr>
          <w:sz w:val="24"/>
          <w:szCs w:val="24"/>
        </w:rPr>
        <w:t xml:space="preserve">primarily on the </w:t>
      </w:r>
      <w:r w:rsidR="00944EFB">
        <w:rPr>
          <w:sz w:val="24"/>
          <w:szCs w:val="24"/>
        </w:rPr>
        <w:t xml:space="preserve">level of their </w:t>
      </w:r>
      <w:r w:rsidRPr="00936F1B">
        <w:rPr>
          <w:sz w:val="24"/>
          <w:szCs w:val="24"/>
        </w:rPr>
        <w:t xml:space="preserve">APR.  Many state laws are modeled on HOEPA and many of these laws expand the definition of HOEPA to cover </w:t>
      </w:r>
      <w:r w:rsidR="00944EFB">
        <w:rPr>
          <w:sz w:val="24"/>
          <w:szCs w:val="24"/>
        </w:rPr>
        <w:t xml:space="preserve">an </w:t>
      </w:r>
      <w:r w:rsidRPr="00936F1B">
        <w:rPr>
          <w:sz w:val="24"/>
          <w:szCs w:val="24"/>
        </w:rPr>
        <w:t>even greater array of loans.</w:t>
      </w:r>
    </w:p>
    <w:p w:rsidR="00936F1B" w:rsidRPr="00936F1B" w:rsidRDefault="00936F1B" w:rsidP="00936F1B">
      <w:pPr>
        <w:autoSpaceDE w:val="0"/>
        <w:autoSpaceDN w:val="0"/>
        <w:adjustRightInd w:val="0"/>
        <w:ind w:left="1080" w:right="1170"/>
        <w:jc w:val="both"/>
        <w:rPr>
          <w:sz w:val="24"/>
          <w:szCs w:val="24"/>
        </w:rPr>
      </w:pPr>
    </w:p>
    <w:p w:rsidR="00936F1B" w:rsidRDefault="00936F1B" w:rsidP="00936F1B">
      <w:pPr>
        <w:autoSpaceDE w:val="0"/>
        <w:autoSpaceDN w:val="0"/>
        <w:adjustRightInd w:val="0"/>
        <w:ind w:left="1080" w:right="1170"/>
        <w:jc w:val="both"/>
        <w:rPr>
          <w:sz w:val="24"/>
          <w:szCs w:val="24"/>
        </w:rPr>
      </w:pPr>
      <w:r w:rsidRPr="00936F1B">
        <w:rPr>
          <w:sz w:val="24"/>
          <w:szCs w:val="24"/>
        </w:rPr>
        <w:t xml:space="preserve">Much of the recent increase in mortgage lending to previously underserved populations can be attributed to the development of the subprime mortgage market.  This rapid growth has given access to consumers who were not previously served by credit markets, because they had difficulty in meeting the underwriting criteria of prime lenders. </w:t>
      </w:r>
    </w:p>
    <w:p w:rsidR="00936F1B" w:rsidRPr="00936F1B" w:rsidRDefault="00936F1B" w:rsidP="00936F1B">
      <w:pPr>
        <w:autoSpaceDE w:val="0"/>
        <w:autoSpaceDN w:val="0"/>
        <w:adjustRightInd w:val="0"/>
        <w:ind w:left="1080" w:right="1170"/>
        <w:jc w:val="both"/>
        <w:rPr>
          <w:sz w:val="24"/>
          <w:szCs w:val="24"/>
        </w:rPr>
      </w:pPr>
    </w:p>
    <w:p w:rsidR="00936F1B" w:rsidRDefault="00936F1B" w:rsidP="00936F1B">
      <w:pPr>
        <w:autoSpaceDE w:val="0"/>
        <w:autoSpaceDN w:val="0"/>
        <w:adjustRightInd w:val="0"/>
        <w:ind w:left="1080" w:right="1170"/>
        <w:jc w:val="both"/>
        <w:rPr>
          <w:sz w:val="24"/>
          <w:szCs w:val="24"/>
        </w:rPr>
      </w:pPr>
      <w:r w:rsidRPr="00936F1B">
        <w:rPr>
          <w:sz w:val="24"/>
          <w:szCs w:val="24"/>
        </w:rPr>
        <w:lastRenderedPageBreak/>
        <w:t xml:space="preserve">However, the rise in the use of credit for lower-income homeowners has not come without cost. The practice has been accompanied by increasing reports of abusive, unethical, and, in some cases, illegal lending practices. Such lending practices jeopardize the twin American dreams of owning a home and building wealth.  </w:t>
      </w:r>
    </w:p>
    <w:p w:rsidR="00936F1B" w:rsidRPr="00936F1B" w:rsidRDefault="00936F1B" w:rsidP="00936F1B">
      <w:pPr>
        <w:autoSpaceDE w:val="0"/>
        <w:autoSpaceDN w:val="0"/>
        <w:adjustRightInd w:val="0"/>
        <w:ind w:left="1080" w:right="1170"/>
        <w:jc w:val="both"/>
        <w:rPr>
          <w:sz w:val="24"/>
          <w:szCs w:val="24"/>
        </w:rPr>
      </w:pPr>
    </w:p>
    <w:p w:rsidR="00936F1B" w:rsidRDefault="00936F1B" w:rsidP="00936F1B">
      <w:pPr>
        <w:autoSpaceDE w:val="0"/>
        <w:autoSpaceDN w:val="0"/>
        <w:adjustRightInd w:val="0"/>
        <w:ind w:left="1080" w:right="1170"/>
        <w:jc w:val="both"/>
        <w:rPr>
          <w:sz w:val="24"/>
          <w:szCs w:val="24"/>
        </w:rPr>
      </w:pPr>
      <w:r w:rsidRPr="00936F1B">
        <w:rPr>
          <w:sz w:val="24"/>
          <w:szCs w:val="24"/>
        </w:rPr>
        <w:t xml:space="preserve">Victims of predatory lending lose hard-earned equity in their homes and sometimes even lose their homes to foreclosure.  Some people call predatory lending </w:t>
      </w:r>
      <w:r w:rsidR="00843EAA">
        <w:rPr>
          <w:sz w:val="24"/>
          <w:szCs w:val="24"/>
        </w:rPr>
        <w:t>‘</w:t>
      </w:r>
      <w:r w:rsidRPr="00936F1B">
        <w:rPr>
          <w:sz w:val="24"/>
          <w:szCs w:val="24"/>
        </w:rPr>
        <w:t>redlining in reverse</w:t>
      </w:r>
      <w:r w:rsidR="00843EAA" w:rsidRPr="00936F1B">
        <w:rPr>
          <w:sz w:val="24"/>
          <w:szCs w:val="24"/>
        </w:rPr>
        <w:t>.</w:t>
      </w:r>
      <w:r w:rsidR="00843EAA">
        <w:rPr>
          <w:sz w:val="24"/>
          <w:szCs w:val="24"/>
        </w:rPr>
        <w:t>’</w:t>
      </w:r>
      <w:r w:rsidR="00843EAA" w:rsidRPr="00936F1B">
        <w:rPr>
          <w:sz w:val="24"/>
          <w:szCs w:val="24"/>
        </w:rPr>
        <w:t xml:space="preserve">  </w:t>
      </w:r>
      <w:r w:rsidR="00944EFB">
        <w:rPr>
          <w:sz w:val="24"/>
          <w:szCs w:val="24"/>
        </w:rPr>
        <w:t>While</w:t>
      </w:r>
      <w:r w:rsidR="00944EFB" w:rsidRPr="00936F1B">
        <w:rPr>
          <w:sz w:val="24"/>
          <w:szCs w:val="24"/>
        </w:rPr>
        <w:t xml:space="preserve"> </w:t>
      </w:r>
      <w:r w:rsidRPr="00936F1B">
        <w:rPr>
          <w:sz w:val="24"/>
          <w:szCs w:val="24"/>
        </w:rPr>
        <w:t>Redlining refers to the practice of mortgage loan originators who avoid lending to certain segments of the population based on race, gender or other attributes, predatory lending refers to the opposite</w:t>
      </w:r>
      <w:r w:rsidR="00944EFB">
        <w:rPr>
          <w:sz w:val="24"/>
          <w:szCs w:val="24"/>
        </w:rPr>
        <w:t>:</w:t>
      </w:r>
      <w:r w:rsidRPr="00936F1B">
        <w:rPr>
          <w:sz w:val="24"/>
          <w:szCs w:val="24"/>
        </w:rPr>
        <w:t xml:space="preserve"> excessive unethical lending to a previously underserved population.</w:t>
      </w:r>
    </w:p>
    <w:p w:rsidR="00D61A49" w:rsidRDefault="00D61A49" w:rsidP="00936F1B">
      <w:pPr>
        <w:autoSpaceDE w:val="0"/>
        <w:autoSpaceDN w:val="0"/>
        <w:adjustRightInd w:val="0"/>
        <w:ind w:left="1080" w:right="1170"/>
        <w:jc w:val="both"/>
        <w:rPr>
          <w:sz w:val="24"/>
          <w:szCs w:val="24"/>
        </w:rPr>
      </w:pPr>
    </w:p>
    <w:p w:rsidR="00D61A49" w:rsidRPr="00944EFB" w:rsidRDefault="00AE2DFB" w:rsidP="00936F1B">
      <w:pPr>
        <w:autoSpaceDE w:val="0"/>
        <w:autoSpaceDN w:val="0"/>
        <w:adjustRightInd w:val="0"/>
        <w:ind w:left="1080" w:right="1170"/>
        <w:jc w:val="both"/>
        <w:rPr>
          <w:rFonts w:asciiTheme="minorHAnsi" w:hAnsiTheme="minorHAnsi" w:cstheme="minorHAnsi"/>
          <w:sz w:val="24"/>
          <w:szCs w:val="24"/>
        </w:rPr>
      </w:pPr>
      <w:r w:rsidRPr="00CB2F78">
        <w:rPr>
          <w:rFonts w:asciiTheme="minorHAnsi" w:hAnsiTheme="minorHAnsi" w:cstheme="minorHAnsi"/>
          <w:color w:val="333333"/>
          <w:sz w:val="24"/>
          <w:szCs w:val="24"/>
          <w:shd w:val="clear" w:color="auto" w:fill="FFFFFF"/>
        </w:rPr>
        <w:t>The CFPB is developing proposed regulations to implement the amendments made by the Dodd-Frank Wall Street Reform and Consumer Protection Act (Dodd-Frank Act). These will include expanded definitions of what a HOEPA loan</w:t>
      </w:r>
      <w:r w:rsidR="00891977">
        <w:rPr>
          <w:rFonts w:asciiTheme="minorHAnsi" w:hAnsiTheme="minorHAnsi" w:cstheme="minorHAnsi"/>
          <w:color w:val="333333"/>
          <w:sz w:val="24"/>
          <w:szCs w:val="24"/>
          <w:shd w:val="clear" w:color="auto" w:fill="FFFFFF"/>
        </w:rPr>
        <w:t xml:space="preserve"> </w:t>
      </w:r>
      <w:proofErr w:type="gramStart"/>
      <w:r w:rsidR="00891977">
        <w:rPr>
          <w:rFonts w:asciiTheme="minorHAnsi" w:hAnsiTheme="minorHAnsi" w:cstheme="minorHAnsi"/>
          <w:color w:val="333333"/>
          <w:sz w:val="24"/>
          <w:szCs w:val="24"/>
          <w:shd w:val="clear" w:color="auto" w:fill="FFFFFF"/>
        </w:rPr>
        <w:t>is</w:t>
      </w:r>
      <w:proofErr w:type="gramEnd"/>
      <w:r w:rsidRPr="00CB2F78">
        <w:rPr>
          <w:rFonts w:asciiTheme="minorHAnsi" w:hAnsiTheme="minorHAnsi" w:cstheme="minorHAnsi"/>
          <w:color w:val="333333"/>
          <w:sz w:val="24"/>
          <w:szCs w:val="24"/>
          <w:shd w:val="clear" w:color="auto" w:fill="FFFFFF"/>
        </w:rPr>
        <w:t xml:space="preserve">, additional restrictions on HOEPA loans and a pre-purchase counseling requirement.  </w:t>
      </w:r>
      <w:r w:rsidR="001032F9" w:rsidRPr="001032F9">
        <w:rPr>
          <w:rFonts w:asciiTheme="minorHAnsi" w:hAnsiTheme="minorHAnsi" w:cstheme="minorHAnsi"/>
          <w:color w:val="333333"/>
          <w:sz w:val="24"/>
          <w:szCs w:val="24"/>
          <w:shd w:val="clear" w:color="auto" w:fill="FFFFFF"/>
        </w:rPr>
        <w:t>Since 2008 CFPB has made many changes to HOEPA. The most recent in January 2014 expanded HOEPA restrictions and thresholds and added a requirement for pre-purchase counseling</w:t>
      </w:r>
      <w:r w:rsidRPr="00CB2F78">
        <w:rPr>
          <w:rFonts w:asciiTheme="minorHAnsi" w:hAnsiTheme="minorHAnsi" w:cstheme="minorHAnsi"/>
          <w:color w:val="333333"/>
          <w:sz w:val="24"/>
          <w:szCs w:val="24"/>
          <w:shd w:val="clear" w:color="auto" w:fill="FFFFFF"/>
        </w:rPr>
        <w:t xml:space="preserve">.  </w:t>
      </w:r>
    </w:p>
    <w:p w:rsidR="00936F1B" w:rsidRPr="00936F1B" w:rsidRDefault="00936F1B" w:rsidP="00936F1B">
      <w:pPr>
        <w:autoSpaceDE w:val="0"/>
        <w:autoSpaceDN w:val="0"/>
        <w:adjustRightInd w:val="0"/>
        <w:ind w:left="1080" w:right="1170"/>
        <w:jc w:val="both"/>
        <w:rPr>
          <w:sz w:val="24"/>
          <w:szCs w:val="24"/>
        </w:rPr>
      </w:pPr>
    </w:p>
    <w:p w:rsidR="00936F1B" w:rsidRPr="00FF06DE" w:rsidRDefault="008911C3" w:rsidP="008911C3">
      <w:pPr>
        <w:pStyle w:val="Heading2"/>
        <w:numPr>
          <w:ilvl w:val="0"/>
          <w:numId w:val="0"/>
        </w:numPr>
        <w:ind w:left="1080"/>
      </w:pPr>
      <w:bookmarkStart w:id="163" w:name="_Toc393811647"/>
      <w:r>
        <w:t xml:space="preserve">B. </w:t>
      </w:r>
      <w:r w:rsidR="00936F1B" w:rsidRPr="00FF06DE">
        <w:t>Subprime Lending</w:t>
      </w:r>
      <w:bookmarkEnd w:id="163"/>
    </w:p>
    <w:p w:rsidR="00936F1B" w:rsidRPr="00936F1B" w:rsidRDefault="00936F1B" w:rsidP="00936F1B">
      <w:pPr>
        <w:pStyle w:val="ListParagraph"/>
        <w:autoSpaceDE w:val="0"/>
        <w:autoSpaceDN w:val="0"/>
        <w:adjustRightInd w:val="0"/>
        <w:ind w:left="1080" w:right="1170"/>
        <w:jc w:val="both"/>
        <w:rPr>
          <w:sz w:val="24"/>
          <w:szCs w:val="24"/>
        </w:rPr>
      </w:pPr>
    </w:p>
    <w:p w:rsidR="00936F1B" w:rsidRDefault="00936F1B" w:rsidP="00936F1B">
      <w:pPr>
        <w:autoSpaceDE w:val="0"/>
        <w:autoSpaceDN w:val="0"/>
        <w:adjustRightInd w:val="0"/>
        <w:ind w:left="1080" w:right="1170"/>
        <w:jc w:val="both"/>
        <w:rPr>
          <w:sz w:val="24"/>
          <w:szCs w:val="24"/>
        </w:rPr>
      </w:pPr>
      <w:r w:rsidRPr="00936F1B">
        <w:rPr>
          <w:sz w:val="24"/>
          <w:szCs w:val="24"/>
        </w:rPr>
        <w:t xml:space="preserve">Subprime lending, in contrast to predatory lending, refers to entirely appropriate and legal lending to borrowers who do not qualify for prime rates or rates reserved for borrowers with virtually blemish-free credit histories. Premiums for extending credit to these so-called </w:t>
      </w:r>
      <w:r w:rsidR="00891977">
        <w:rPr>
          <w:sz w:val="24"/>
          <w:szCs w:val="24"/>
        </w:rPr>
        <w:t>‘</w:t>
      </w:r>
      <w:r w:rsidRPr="00936F1B">
        <w:rPr>
          <w:sz w:val="24"/>
          <w:szCs w:val="24"/>
        </w:rPr>
        <w:t>subprime</w:t>
      </w:r>
      <w:r w:rsidR="00891977">
        <w:rPr>
          <w:sz w:val="24"/>
          <w:szCs w:val="24"/>
        </w:rPr>
        <w:t>’</w:t>
      </w:r>
      <w:r w:rsidR="00891977" w:rsidRPr="00936F1B">
        <w:rPr>
          <w:sz w:val="24"/>
          <w:szCs w:val="24"/>
        </w:rPr>
        <w:t xml:space="preserve"> </w:t>
      </w:r>
      <w:r w:rsidRPr="00936F1B">
        <w:rPr>
          <w:sz w:val="24"/>
          <w:szCs w:val="24"/>
        </w:rPr>
        <w:t xml:space="preserve">borrowers compensate lenders for the increased risk that they </w:t>
      </w:r>
      <w:r w:rsidR="00944EFB">
        <w:rPr>
          <w:sz w:val="24"/>
          <w:szCs w:val="24"/>
        </w:rPr>
        <w:t>face</w:t>
      </w:r>
      <w:r w:rsidR="00944EFB" w:rsidRPr="00936F1B">
        <w:rPr>
          <w:sz w:val="24"/>
          <w:szCs w:val="24"/>
        </w:rPr>
        <w:t xml:space="preserve"> </w:t>
      </w:r>
      <w:r w:rsidRPr="00936F1B">
        <w:rPr>
          <w:sz w:val="24"/>
          <w:szCs w:val="24"/>
        </w:rPr>
        <w:t xml:space="preserve">and can be several percentage points above </w:t>
      </w:r>
      <w:r w:rsidR="00944EFB">
        <w:rPr>
          <w:sz w:val="24"/>
          <w:szCs w:val="24"/>
        </w:rPr>
        <w:t xml:space="preserve">the </w:t>
      </w:r>
      <w:r w:rsidRPr="00936F1B">
        <w:rPr>
          <w:sz w:val="24"/>
          <w:szCs w:val="24"/>
        </w:rPr>
        <w:t>rates that are charged on prime loans. Although some have argued that these premiums are excessive, the government expects that market forces should eliminate inappropriate spreads over time.</w:t>
      </w:r>
    </w:p>
    <w:p w:rsidR="00FF06DE" w:rsidRPr="00936F1B" w:rsidRDefault="00FF06DE" w:rsidP="00936F1B">
      <w:pPr>
        <w:autoSpaceDE w:val="0"/>
        <w:autoSpaceDN w:val="0"/>
        <w:adjustRightInd w:val="0"/>
        <w:ind w:left="1080" w:right="1170"/>
        <w:jc w:val="both"/>
        <w:rPr>
          <w:sz w:val="24"/>
          <w:szCs w:val="24"/>
        </w:rPr>
      </w:pPr>
    </w:p>
    <w:p w:rsidR="00936F1B" w:rsidRPr="00FF06DE" w:rsidRDefault="008911C3" w:rsidP="008911C3">
      <w:pPr>
        <w:pStyle w:val="Heading2"/>
        <w:numPr>
          <w:ilvl w:val="0"/>
          <w:numId w:val="0"/>
        </w:numPr>
        <w:ind w:left="1080"/>
      </w:pPr>
      <w:bookmarkStart w:id="164" w:name="_Toc393811648"/>
      <w:r>
        <w:t xml:space="preserve">C. </w:t>
      </w:r>
      <w:r w:rsidR="00936F1B" w:rsidRPr="00FF06DE">
        <w:t>Examples of Predatory Lending Activities</w:t>
      </w:r>
      <w:bookmarkEnd w:id="164"/>
    </w:p>
    <w:p w:rsidR="00FF06DE" w:rsidRPr="00FF06DE" w:rsidRDefault="00FF06DE" w:rsidP="00FF06DE">
      <w:pPr>
        <w:pStyle w:val="ListParagraph"/>
        <w:autoSpaceDE w:val="0"/>
        <w:autoSpaceDN w:val="0"/>
        <w:adjustRightInd w:val="0"/>
        <w:ind w:left="1080" w:right="1170"/>
        <w:jc w:val="both"/>
        <w:rPr>
          <w:sz w:val="24"/>
          <w:szCs w:val="24"/>
        </w:rPr>
      </w:pPr>
    </w:p>
    <w:p w:rsidR="00936F1B" w:rsidRDefault="00936F1B" w:rsidP="00936F1B">
      <w:pPr>
        <w:autoSpaceDE w:val="0"/>
        <w:autoSpaceDN w:val="0"/>
        <w:adjustRightInd w:val="0"/>
        <w:ind w:left="1080" w:right="1170"/>
        <w:jc w:val="both"/>
        <w:rPr>
          <w:sz w:val="24"/>
          <w:szCs w:val="24"/>
        </w:rPr>
      </w:pPr>
      <w:r w:rsidRPr="00936F1B">
        <w:rPr>
          <w:sz w:val="24"/>
          <w:szCs w:val="24"/>
        </w:rPr>
        <w:t>HOEPA aims to limit the subset of lending practices that are unethical, abusive and illegal. Some predatory lending involves outright fraud and deception, practices that are already illegal; however, some predatory lending is more subtle</w:t>
      </w:r>
      <w:r w:rsidR="00891977">
        <w:rPr>
          <w:sz w:val="24"/>
          <w:szCs w:val="24"/>
        </w:rPr>
        <w:t xml:space="preserve"> and involves</w:t>
      </w:r>
      <w:r w:rsidRPr="00936F1B">
        <w:rPr>
          <w:sz w:val="24"/>
          <w:szCs w:val="24"/>
        </w:rPr>
        <w:t xml:space="preserve"> the misuse of conventions that many times can be beneficial. We’ll briefly discuss several examples: </w:t>
      </w:r>
    </w:p>
    <w:p w:rsidR="00FF06DE" w:rsidRPr="00936F1B" w:rsidRDefault="00FF06DE" w:rsidP="00936F1B">
      <w:pPr>
        <w:autoSpaceDE w:val="0"/>
        <w:autoSpaceDN w:val="0"/>
        <w:adjustRightInd w:val="0"/>
        <w:ind w:left="1080" w:right="1170"/>
        <w:jc w:val="both"/>
        <w:rPr>
          <w:sz w:val="24"/>
          <w:szCs w:val="24"/>
        </w:rPr>
      </w:pPr>
    </w:p>
    <w:p w:rsidR="00936F1B" w:rsidRPr="00FF06DE" w:rsidRDefault="00944EFB" w:rsidP="005212C7">
      <w:pPr>
        <w:pStyle w:val="ListParagraph"/>
        <w:numPr>
          <w:ilvl w:val="1"/>
          <w:numId w:val="24"/>
        </w:numPr>
        <w:autoSpaceDE w:val="0"/>
        <w:autoSpaceDN w:val="0"/>
        <w:adjustRightInd w:val="0"/>
        <w:ind w:left="1800" w:right="1170"/>
        <w:jc w:val="both"/>
        <w:rPr>
          <w:sz w:val="24"/>
          <w:szCs w:val="24"/>
        </w:rPr>
      </w:pPr>
      <w:r w:rsidRPr="00FF06DE">
        <w:rPr>
          <w:b/>
          <w:sz w:val="24"/>
          <w:szCs w:val="24"/>
        </w:rPr>
        <w:t>Asset</w:t>
      </w:r>
      <w:r>
        <w:rPr>
          <w:b/>
          <w:sz w:val="24"/>
          <w:szCs w:val="24"/>
        </w:rPr>
        <w:t>-</w:t>
      </w:r>
      <w:r w:rsidR="00936F1B" w:rsidRPr="00FF06DE">
        <w:rPr>
          <w:b/>
          <w:sz w:val="24"/>
          <w:szCs w:val="24"/>
        </w:rPr>
        <w:t>Based Lending.</w:t>
      </w:r>
      <w:r w:rsidR="00936F1B" w:rsidRPr="00FF06DE">
        <w:rPr>
          <w:sz w:val="24"/>
          <w:szCs w:val="24"/>
        </w:rPr>
        <w:t xml:space="preserve">  Extending credit to borrowers unable to repay the debt is called asset-based lending.  This problem is exacerbated by mortgage loan originators who do not verify income.  In such a case, once a borrower fails to make payments, the lender would foreclose on the property, thus obtaining the property as their asset.  </w:t>
      </w:r>
    </w:p>
    <w:p w:rsidR="00FF06DE" w:rsidRPr="00936F1B" w:rsidRDefault="00FF06DE" w:rsidP="00FF06DE">
      <w:pPr>
        <w:autoSpaceDE w:val="0"/>
        <w:autoSpaceDN w:val="0"/>
        <w:adjustRightInd w:val="0"/>
        <w:ind w:left="360" w:right="1170"/>
        <w:jc w:val="both"/>
        <w:rPr>
          <w:sz w:val="24"/>
          <w:szCs w:val="24"/>
        </w:rPr>
      </w:pPr>
    </w:p>
    <w:p w:rsidR="00E125EA" w:rsidRDefault="00936F1B" w:rsidP="005212C7">
      <w:pPr>
        <w:pStyle w:val="ListParagraph"/>
        <w:numPr>
          <w:ilvl w:val="1"/>
          <w:numId w:val="24"/>
        </w:numPr>
        <w:autoSpaceDE w:val="0"/>
        <w:autoSpaceDN w:val="0"/>
        <w:adjustRightInd w:val="0"/>
        <w:ind w:left="1800" w:right="1170"/>
        <w:jc w:val="both"/>
        <w:rPr>
          <w:sz w:val="24"/>
          <w:szCs w:val="24"/>
        </w:rPr>
      </w:pPr>
      <w:r w:rsidRPr="00FF06DE">
        <w:rPr>
          <w:b/>
          <w:sz w:val="24"/>
          <w:szCs w:val="24"/>
        </w:rPr>
        <w:t>Loan Flipping.</w:t>
      </w:r>
      <w:r w:rsidRPr="00FF06DE">
        <w:rPr>
          <w:sz w:val="24"/>
          <w:szCs w:val="24"/>
        </w:rPr>
        <w:t xml:space="preserve">  Repeatedly refinancing, or </w:t>
      </w:r>
      <w:r w:rsidR="00891977">
        <w:rPr>
          <w:sz w:val="24"/>
          <w:szCs w:val="24"/>
        </w:rPr>
        <w:t>‘</w:t>
      </w:r>
      <w:r w:rsidRPr="00FF06DE">
        <w:rPr>
          <w:sz w:val="24"/>
          <w:szCs w:val="24"/>
        </w:rPr>
        <w:t>flipping</w:t>
      </w:r>
      <w:r w:rsidR="00891977" w:rsidRPr="00FF06DE">
        <w:rPr>
          <w:sz w:val="24"/>
          <w:szCs w:val="24"/>
        </w:rPr>
        <w:t>,</w:t>
      </w:r>
      <w:r w:rsidR="00891977">
        <w:rPr>
          <w:sz w:val="24"/>
          <w:szCs w:val="24"/>
        </w:rPr>
        <w:t>’</w:t>
      </w:r>
      <w:r w:rsidR="00891977" w:rsidRPr="00FF06DE">
        <w:rPr>
          <w:sz w:val="24"/>
          <w:szCs w:val="24"/>
        </w:rPr>
        <w:t xml:space="preserve"> </w:t>
      </w:r>
      <w:r w:rsidRPr="00FF06DE">
        <w:rPr>
          <w:sz w:val="24"/>
          <w:szCs w:val="24"/>
        </w:rPr>
        <w:t>loans for the purpose of continuously collecting fees from homeowners.</w:t>
      </w:r>
    </w:p>
    <w:p w:rsidR="00E125EA" w:rsidRPr="00E125EA" w:rsidRDefault="00E125EA" w:rsidP="00E125EA">
      <w:pPr>
        <w:pStyle w:val="ListParagraph"/>
        <w:rPr>
          <w:sz w:val="24"/>
          <w:szCs w:val="24"/>
        </w:rPr>
      </w:pPr>
    </w:p>
    <w:p w:rsidR="00936F1B" w:rsidRPr="00FF06DE" w:rsidRDefault="00936F1B" w:rsidP="005212C7">
      <w:pPr>
        <w:pStyle w:val="ListParagraph"/>
        <w:numPr>
          <w:ilvl w:val="1"/>
          <w:numId w:val="24"/>
        </w:numPr>
        <w:autoSpaceDE w:val="0"/>
        <w:autoSpaceDN w:val="0"/>
        <w:adjustRightInd w:val="0"/>
        <w:ind w:left="1800" w:right="1170"/>
        <w:jc w:val="both"/>
        <w:rPr>
          <w:sz w:val="24"/>
          <w:szCs w:val="24"/>
        </w:rPr>
      </w:pPr>
      <w:r w:rsidRPr="00FF06DE">
        <w:rPr>
          <w:b/>
          <w:sz w:val="24"/>
          <w:szCs w:val="24"/>
        </w:rPr>
        <w:t>Excessive Fees.</w:t>
      </w:r>
      <w:r w:rsidRPr="00FF06DE">
        <w:rPr>
          <w:sz w:val="24"/>
          <w:szCs w:val="24"/>
        </w:rPr>
        <w:t xml:space="preserve">  Incorporating credit terms and products that are of questionable value to the borrower and that significantly increase the cost of credit.  </w:t>
      </w:r>
    </w:p>
    <w:p w:rsidR="00FF06DE" w:rsidRPr="00936F1B" w:rsidRDefault="00FF06DE" w:rsidP="00FF06DE">
      <w:pPr>
        <w:autoSpaceDE w:val="0"/>
        <w:autoSpaceDN w:val="0"/>
        <w:adjustRightInd w:val="0"/>
        <w:ind w:left="360" w:right="1170"/>
        <w:jc w:val="both"/>
        <w:rPr>
          <w:sz w:val="24"/>
          <w:szCs w:val="24"/>
        </w:rPr>
      </w:pPr>
    </w:p>
    <w:p w:rsidR="00936F1B" w:rsidRPr="00FF06DE" w:rsidRDefault="00936F1B" w:rsidP="005212C7">
      <w:pPr>
        <w:pStyle w:val="ListParagraph"/>
        <w:numPr>
          <w:ilvl w:val="1"/>
          <w:numId w:val="24"/>
        </w:numPr>
        <w:autoSpaceDE w:val="0"/>
        <w:autoSpaceDN w:val="0"/>
        <w:adjustRightInd w:val="0"/>
        <w:ind w:left="1800" w:right="1170"/>
        <w:jc w:val="both"/>
        <w:rPr>
          <w:sz w:val="24"/>
          <w:szCs w:val="24"/>
        </w:rPr>
      </w:pPr>
      <w:r w:rsidRPr="00FF06DE">
        <w:rPr>
          <w:b/>
          <w:sz w:val="24"/>
          <w:szCs w:val="24"/>
        </w:rPr>
        <w:t>Making unaffordable loans</w:t>
      </w:r>
      <w:r w:rsidRPr="00FF06DE">
        <w:rPr>
          <w:sz w:val="24"/>
          <w:szCs w:val="24"/>
        </w:rPr>
        <w:t xml:space="preserve">.  Establishing high </w:t>
      </w:r>
      <w:r w:rsidR="00944EFB" w:rsidRPr="00FF06DE">
        <w:rPr>
          <w:sz w:val="24"/>
          <w:szCs w:val="24"/>
        </w:rPr>
        <w:t>loan</w:t>
      </w:r>
      <w:r w:rsidR="00944EFB">
        <w:rPr>
          <w:sz w:val="24"/>
          <w:szCs w:val="24"/>
        </w:rPr>
        <w:t>-</w:t>
      </w:r>
      <w:r w:rsidRPr="00FF06DE">
        <w:rPr>
          <w:sz w:val="24"/>
          <w:szCs w:val="24"/>
        </w:rPr>
        <w:t>rate adjustments to a loan without careful consideration of the potential impact on the consumer.  Sometimes the payments implicit in very high interest rates can spell financial ruin for borrowers.  Sometimes the loans have high prepayment penalties so that the borrowers are trapped and have to continue paying high interest rates.</w:t>
      </w:r>
    </w:p>
    <w:p w:rsidR="00FF06DE" w:rsidRPr="00936F1B" w:rsidRDefault="00FF06DE" w:rsidP="00FF06DE">
      <w:pPr>
        <w:autoSpaceDE w:val="0"/>
        <w:autoSpaceDN w:val="0"/>
        <w:adjustRightInd w:val="0"/>
        <w:ind w:left="360" w:right="1170"/>
        <w:jc w:val="both"/>
        <w:rPr>
          <w:sz w:val="24"/>
          <w:szCs w:val="24"/>
        </w:rPr>
      </w:pPr>
    </w:p>
    <w:p w:rsidR="00936F1B" w:rsidRPr="00FF06DE" w:rsidRDefault="00936F1B" w:rsidP="005212C7">
      <w:pPr>
        <w:pStyle w:val="ListParagraph"/>
        <w:numPr>
          <w:ilvl w:val="1"/>
          <w:numId w:val="24"/>
        </w:numPr>
        <w:autoSpaceDE w:val="0"/>
        <w:autoSpaceDN w:val="0"/>
        <w:adjustRightInd w:val="0"/>
        <w:ind w:left="1800" w:right="1170"/>
        <w:jc w:val="both"/>
        <w:rPr>
          <w:sz w:val="24"/>
          <w:szCs w:val="24"/>
        </w:rPr>
      </w:pPr>
      <w:r w:rsidRPr="00FF06DE">
        <w:rPr>
          <w:b/>
          <w:sz w:val="24"/>
          <w:szCs w:val="24"/>
        </w:rPr>
        <w:t xml:space="preserve">Exploiting the elderly.  </w:t>
      </w:r>
      <w:r w:rsidR="00944EFB">
        <w:rPr>
          <w:sz w:val="24"/>
          <w:szCs w:val="24"/>
        </w:rPr>
        <w:t>Offering</w:t>
      </w:r>
      <w:r w:rsidR="00944EFB" w:rsidRPr="00FF06DE">
        <w:rPr>
          <w:sz w:val="24"/>
          <w:szCs w:val="24"/>
        </w:rPr>
        <w:t xml:space="preserve"> </w:t>
      </w:r>
      <w:r w:rsidRPr="00FF06DE">
        <w:rPr>
          <w:sz w:val="24"/>
          <w:szCs w:val="24"/>
        </w:rPr>
        <w:t xml:space="preserve">elderly homeowners a home equity loan </w:t>
      </w:r>
      <w:r w:rsidR="00944EFB">
        <w:rPr>
          <w:sz w:val="24"/>
          <w:szCs w:val="24"/>
        </w:rPr>
        <w:t>even though</w:t>
      </w:r>
      <w:r w:rsidRPr="00FF06DE">
        <w:rPr>
          <w:sz w:val="24"/>
          <w:szCs w:val="24"/>
        </w:rPr>
        <w:t xml:space="preserve"> they could qualify for a reverse mortgage due to the large amount of equity </w:t>
      </w:r>
      <w:r w:rsidR="00944EFB">
        <w:rPr>
          <w:sz w:val="24"/>
          <w:szCs w:val="24"/>
        </w:rPr>
        <w:t>that has built up in their</w:t>
      </w:r>
      <w:r w:rsidRPr="00FF06DE">
        <w:rPr>
          <w:sz w:val="24"/>
          <w:szCs w:val="24"/>
        </w:rPr>
        <w:t xml:space="preserve"> home.  Another example is advising borrowers to draw money using a reverse mortgage and then offering to use the money for investments or home improvements or to buy other insurance products.  </w:t>
      </w:r>
    </w:p>
    <w:p w:rsidR="00FF06DE" w:rsidRPr="00936F1B" w:rsidRDefault="00FF06DE" w:rsidP="00FF06DE">
      <w:pPr>
        <w:autoSpaceDE w:val="0"/>
        <w:autoSpaceDN w:val="0"/>
        <w:adjustRightInd w:val="0"/>
        <w:ind w:left="360" w:right="1170"/>
        <w:jc w:val="both"/>
        <w:rPr>
          <w:sz w:val="24"/>
          <w:szCs w:val="24"/>
        </w:rPr>
      </w:pPr>
    </w:p>
    <w:p w:rsidR="00936F1B" w:rsidRPr="00FF06DE" w:rsidRDefault="00936F1B" w:rsidP="005212C7">
      <w:pPr>
        <w:pStyle w:val="ListParagraph"/>
        <w:numPr>
          <w:ilvl w:val="1"/>
          <w:numId w:val="24"/>
        </w:numPr>
        <w:autoSpaceDE w:val="0"/>
        <w:autoSpaceDN w:val="0"/>
        <w:adjustRightInd w:val="0"/>
        <w:ind w:left="1800" w:right="1170"/>
        <w:jc w:val="both"/>
        <w:rPr>
          <w:sz w:val="24"/>
          <w:szCs w:val="24"/>
        </w:rPr>
      </w:pPr>
      <w:r w:rsidRPr="00FF06DE">
        <w:rPr>
          <w:b/>
          <w:sz w:val="24"/>
          <w:szCs w:val="24"/>
        </w:rPr>
        <w:t>Exploiting people’s ignorance.</w:t>
      </w:r>
      <w:r w:rsidRPr="00FF06DE">
        <w:rPr>
          <w:sz w:val="24"/>
          <w:szCs w:val="24"/>
        </w:rPr>
        <w:t xml:space="preserve">  Targeting groups of people who lack knowledge of the mortgage process and market.  Groups that have disproportionately been prey</w:t>
      </w:r>
      <w:r w:rsidR="00944EFB">
        <w:rPr>
          <w:sz w:val="24"/>
          <w:szCs w:val="24"/>
        </w:rPr>
        <w:t>ed</w:t>
      </w:r>
      <w:r w:rsidRPr="00FF06DE">
        <w:rPr>
          <w:sz w:val="24"/>
          <w:szCs w:val="24"/>
        </w:rPr>
        <w:t xml:space="preserve"> </w:t>
      </w:r>
      <w:r w:rsidR="00944EFB">
        <w:rPr>
          <w:sz w:val="24"/>
          <w:szCs w:val="24"/>
        </w:rPr>
        <w:t>upon by</w:t>
      </w:r>
      <w:r w:rsidR="00944EFB" w:rsidRPr="00FF06DE">
        <w:rPr>
          <w:sz w:val="24"/>
          <w:szCs w:val="24"/>
        </w:rPr>
        <w:t xml:space="preserve"> </w:t>
      </w:r>
      <w:r w:rsidRPr="00FF06DE">
        <w:rPr>
          <w:sz w:val="24"/>
          <w:szCs w:val="24"/>
        </w:rPr>
        <w:t xml:space="preserve">unscrupulous creditors are women, minorities, and lower-income households. </w:t>
      </w:r>
    </w:p>
    <w:p w:rsidR="00FF06DE" w:rsidRPr="00936F1B" w:rsidRDefault="00FF06DE" w:rsidP="00FF06DE">
      <w:pPr>
        <w:autoSpaceDE w:val="0"/>
        <w:autoSpaceDN w:val="0"/>
        <w:adjustRightInd w:val="0"/>
        <w:ind w:left="360" w:right="1170"/>
        <w:jc w:val="both"/>
        <w:rPr>
          <w:sz w:val="24"/>
          <w:szCs w:val="24"/>
        </w:rPr>
      </w:pPr>
    </w:p>
    <w:p w:rsidR="00936F1B" w:rsidRPr="00FF06DE" w:rsidRDefault="00936F1B" w:rsidP="005212C7">
      <w:pPr>
        <w:pStyle w:val="ListParagraph"/>
        <w:numPr>
          <w:ilvl w:val="1"/>
          <w:numId w:val="24"/>
        </w:numPr>
        <w:autoSpaceDE w:val="0"/>
        <w:autoSpaceDN w:val="0"/>
        <w:adjustRightInd w:val="0"/>
        <w:ind w:left="1800" w:right="1170"/>
        <w:jc w:val="both"/>
        <w:rPr>
          <w:sz w:val="24"/>
          <w:szCs w:val="24"/>
        </w:rPr>
      </w:pPr>
      <w:r w:rsidRPr="00FF06DE">
        <w:rPr>
          <w:b/>
          <w:sz w:val="24"/>
          <w:szCs w:val="24"/>
        </w:rPr>
        <w:t>Dishonest servicer practices.</w:t>
      </w:r>
      <w:r w:rsidRPr="00FF06DE">
        <w:rPr>
          <w:sz w:val="24"/>
          <w:szCs w:val="24"/>
        </w:rPr>
        <w:t xml:space="preserve">  Failing to credit a payment to a consumer’s account when the servicer receives it, failing to provide a payoff statement within a reasonable period of time.  Also, </w:t>
      </w:r>
      <w:r w:rsidR="00891977">
        <w:rPr>
          <w:sz w:val="24"/>
          <w:szCs w:val="24"/>
        </w:rPr>
        <w:t>‘</w:t>
      </w:r>
      <w:r w:rsidRPr="00FF06DE">
        <w:rPr>
          <w:sz w:val="24"/>
          <w:szCs w:val="24"/>
        </w:rPr>
        <w:t>pyramiding</w:t>
      </w:r>
      <w:r w:rsidR="00891977">
        <w:rPr>
          <w:sz w:val="24"/>
          <w:szCs w:val="24"/>
        </w:rPr>
        <w:t>’</w:t>
      </w:r>
      <w:r w:rsidR="00891977" w:rsidRPr="00FF06DE">
        <w:rPr>
          <w:sz w:val="24"/>
          <w:szCs w:val="24"/>
        </w:rPr>
        <w:t xml:space="preserve"> </w:t>
      </w:r>
      <w:r w:rsidRPr="00FF06DE">
        <w:rPr>
          <w:sz w:val="24"/>
          <w:szCs w:val="24"/>
        </w:rPr>
        <w:t xml:space="preserve">late fees, which means the servicer continues to charge certain late fees until all prior late fees have been paid, as opposed to just </w:t>
      </w:r>
      <w:r w:rsidR="00944EFB">
        <w:rPr>
          <w:sz w:val="24"/>
          <w:szCs w:val="24"/>
        </w:rPr>
        <w:t>levying a charge</w:t>
      </w:r>
      <w:r w:rsidR="00944EFB" w:rsidRPr="00FF06DE">
        <w:rPr>
          <w:sz w:val="24"/>
          <w:szCs w:val="24"/>
        </w:rPr>
        <w:t xml:space="preserve"> </w:t>
      </w:r>
      <w:r w:rsidRPr="00FF06DE">
        <w:rPr>
          <w:sz w:val="24"/>
          <w:szCs w:val="24"/>
        </w:rPr>
        <w:t>on the original late payments.</w:t>
      </w:r>
    </w:p>
    <w:p w:rsidR="00FF06DE" w:rsidRPr="00936F1B" w:rsidRDefault="00FF06DE" w:rsidP="00FF06DE">
      <w:pPr>
        <w:autoSpaceDE w:val="0"/>
        <w:autoSpaceDN w:val="0"/>
        <w:adjustRightInd w:val="0"/>
        <w:ind w:left="360" w:right="1170"/>
        <w:jc w:val="both"/>
        <w:rPr>
          <w:sz w:val="24"/>
          <w:szCs w:val="24"/>
        </w:rPr>
      </w:pPr>
    </w:p>
    <w:p w:rsidR="00936F1B" w:rsidRPr="00FF06DE" w:rsidRDefault="00936F1B" w:rsidP="005212C7">
      <w:pPr>
        <w:pStyle w:val="ListParagraph"/>
        <w:numPr>
          <w:ilvl w:val="1"/>
          <w:numId w:val="24"/>
        </w:numPr>
        <w:autoSpaceDE w:val="0"/>
        <w:autoSpaceDN w:val="0"/>
        <w:adjustRightInd w:val="0"/>
        <w:ind w:left="1800" w:right="1170"/>
        <w:jc w:val="both"/>
        <w:rPr>
          <w:sz w:val="24"/>
          <w:szCs w:val="24"/>
        </w:rPr>
      </w:pPr>
      <w:r w:rsidRPr="00FF06DE">
        <w:rPr>
          <w:b/>
          <w:sz w:val="24"/>
          <w:szCs w:val="24"/>
        </w:rPr>
        <w:t>Inflated appraisals.</w:t>
      </w:r>
      <w:r w:rsidRPr="00FF06DE">
        <w:rPr>
          <w:sz w:val="24"/>
          <w:szCs w:val="24"/>
        </w:rPr>
        <w:t xml:space="preserve">  Coercing or encouraging an appraiser to misrepresent the value of a home.  This practice may include </w:t>
      </w:r>
      <w:r w:rsidR="00944EFB">
        <w:rPr>
          <w:sz w:val="24"/>
          <w:szCs w:val="24"/>
        </w:rPr>
        <w:t>informing</w:t>
      </w:r>
      <w:r w:rsidR="00944EFB" w:rsidRPr="00FF06DE">
        <w:rPr>
          <w:sz w:val="24"/>
          <w:szCs w:val="24"/>
        </w:rPr>
        <w:t xml:space="preserve"> </w:t>
      </w:r>
      <w:r w:rsidRPr="00FF06DE">
        <w:rPr>
          <w:sz w:val="24"/>
          <w:szCs w:val="24"/>
        </w:rPr>
        <w:t xml:space="preserve">the appraiser </w:t>
      </w:r>
      <w:r w:rsidR="00944EFB">
        <w:rPr>
          <w:sz w:val="24"/>
          <w:szCs w:val="24"/>
        </w:rPr>
        <w:t>of the</w:t>
      </w:r>
      <w:r w:rsidR="00944EFB" w:rsidRPr="00FF06DE">
        <w:rPr>
          <w:sz w:val="24"/>
          <w:szCs w:val="24"/>
        </w:rPr>
        <w:t xml:space="preserve"> </w:t>
      </w:r>
      <w:r w:rsidRPr="00FF06DE">
        <w:rPr>
          <w:sz w:val="24"/>
          <w:szCs w:val="24"/>
        </w:rPr>
        <w:t xml:space="preserve">minimum reported value needed to approve the loan, conditioning </w:t>
      </w:r>
      <w:r w:rsidR="00944EFB">
        <w:rPr>
          <w:sz w:val="24"/>
          <w:szCs w:val="24"/>
        </w:rPr>
        <w:t xml:space="preserve">an </w:t>
      </w:r>
      <w:r w:rsidRPr="00FF06DE">
        <w:rPr>
          <w:sz w:val="24"/>
          <w:szCs w:val="24"/>
        </w:rPr>
        <w:t xml:space="preserve">appraiser’s compensation on </w:t>
      </w:r>
      <w:r w:rsidR="00944EFB">
        <w:rPr>
          <w:sz w:val="24"/>
          <w:szCs w:val="24"/>
        </w:rPr>
        <w:t>the closure of a loan</w:t>
      </w:r>
      <w:r w:rsidRPr="00FF06DE">
        <w:rPr>
          <w:sz w:val="24"/>
          <w:szCs w:val="24"/>
        </w:rPr>
        <w:t xml:space="preserve"> or suggesting that the appraiser will be excluded from future transactions.</w:t>
      </w:r>
    </w:p>
    <w:p w:rsidR="00FF06DE" w:rsidRPr="00936F1B" w:rsidRDefault="00FF06DE" w:rsidP="00FF06DE">
      <w:pPr>
        <w:autoSpaceDE w:val="0"/>
        <w:autoSpaceDN w:val="0"/>
        <w:adjustRightInd w:val="0"/>
        <w:ind w:left="360" w:right="1170"/>
        <w:jc w:val="both"/>
        <w:rPr>
          <w:sz w:val="24"/>
          <w:szCs w:val="24"/>
        </w:rPr>
      </w:pPr>
    </w:p>
    <w:p w:rsidR="00936F1B" w:rsidRPr="00FF06DE" w:rsidRDefault="00936F1B" w:rsidP="005212C7">
      <w:pPr>
        <w:pStyle w:val="ListParagraph"/>
        <w:numPr>
          <w:ilvl w:val="1"/>
          <w:numId w:val="24"/>
        </w:numPr>
        <w:autoSpaceDE w:val="0"/>
        <w:autoSpaceDN w:val="0"/>
        <w:adjustRightInd w:val="0"/>
        <w:ind w:left="1800" w:right="1170"/>
        <w:jc w:val="both"/>
        <w:rPr>
          <w:sz w:val="24"/>
          <w:szCs w:val="24"/>
        </w:rPr>
      </w:pPr>
      <w:r w:rsidRPr="00FF06DE">
        <w:rPr>
          <w:b/>
          <w:sz w:val="24"/>
          <w:szCs w:val="24"/>
        </w:rPr>
        <w:lastRenderedPageBreak/>
        <w:t>Misleading Advertisements.</w:t>
      </w:r>
      <w:r w:rsidRPr="00FF06DE">
        <w:rPr>
          <w:sz w:val="24"/>
          <w:szCs w:val="24"/>
        </w:rPr>
        <w:t xml:space="preserve">  Propagating misleading or deceptive advertising for closed-end loans</w:t>
      </w:r>
    </w:p>
    <w:p w:rsidR="00FF06DE" w:rsidRPr="00936F1B" w:rsidRDefault="00FF06DE" w:rsidP="00FF06DE">
      <w:pPr>
        <w:autoSpaceDE w:val="0"/>
        <w:autoSpaceDN w:val="0"/>
        <w:adjustRightInd w:val="0"/>
        <w:ind w:left="360" w:right="1170"/>
        <w:jc w:val="both"/>
        <w:rPr>
          <w:sz w:val="24"/>
          <w:szCs w:val="24"/>
        </w:rPr>
      </w:pPr>
    </w:p>
    <w:p w:rsidR="00936F1B" w:rsidRDefault="00936F1B" w:rsidP="005212C7">
      <w:pPr>
        <w:pStyle w:val="ListParagraph"/>
        <w:numPr>
          <w:ilvl w:val="1"/>
          <w:numId w:val="24"/>
        </w:numPr>
        <w:autoSpaceDE w:val="0"/>
        <w:autoSpaceDN w:val="0"/>
        <w:adjustRightInd w:val="0"/>
        <w:ind w:left="1800" w:right="1170"/>
        <w:jc w:val="both"/>
        <w:rPr>
          <w:sz w:val="24"/>
          <w:szCs w:val="24"/>
        </w:rPr>
      </w:pPr>
      <w:r w:rsidRPr="00FF06DE">
        <w:rPr>
          <w:b/>
          <w:sz w:val="24"/>
          <w:szCs w:val="24"/>
        </w:rPr>
        <w:t>Advance Fee Schemes.</w:t>
      </w:r>
      <w:r w:rsidRPr="00FF06DE">
        <w:rPr>
          <w:sz w:val="24"/>
          <w:szCs w:val="24"/>
        </w:rPr>
        <w:t xml:space="preserve">  Charging </w:t>
      </w:r>
      <w:r w:rsidR="00F355FE">
        <w:rPr>
          <w:sz w:val="24"/>
          <w:szCs w:val="24"/>
        </w:rPr>
        <w:t>would-be borrowers upfront fees for services the promoter has no intention of providing.</w:t>
      </w:r>
    </w:p>
    <w:p w:rsidR="004437F8" w:rsidRPr="004437F8" w:rsidRDefault="004437F8" w:rsidP="004437F8">
      <w:pPr>
        <w:pStyle w:val="ListParagraph"/>
        <w:rPr>
          <w:sz w:val="24"/>
          <w:szCs w:val="24"/>
        </w:rPr>
      </w:pPr>
    </w:p>
    <w:p w:rsidR="004437F8" w:rsidRDefault="004437F8" w:rsidP="004437F8">
      <w:pPr>
        <w:pStyle w:val="ListParagraph"/>
        <w:autoSpaceDE w:val="0"/>
        <w:autoSpaceDN w:val="0"/>
        <w:adjustRightInd w:val="0"/>
        <w:ind w:left="1800" w:right="1170"/>
        <w:jc w:val="both"/>
        <w:rPr>
          <w:sz w:val="24"/>
          <w:szCs w:val="24"/>
        </w:rPr>
        <w:sectPr w:rsidR="004437F8" w:rsidSect="00491C63">
          <w:headerReference w:type="default" r:id="rId32"/>
          <w:pgSz w:w="12240" w:h="15840"/>
          <w:pgMar w:top="1440" w:right="720" w:bottom="1440" w:left="720" w:header="720" w:footer="720" w:gutter="0"/>
          <w:cols w:space="720"/>
          <w:docGrid w:linePitch="360"/>
        </w:sectPr>
      </w:pPr>
    </w:p>
    <w:p w:rsidR="004437F8" w:rsidRPr="00037EB1" w:rsidRDefault="00037EB1" w:rsidP="00AF7B92">
      <w:pPr>
        <w:pStyle w:val="Heading1"/>
      </w:pPr>
      <w:bookmarkStart w:id="165" w:name="_Toc393811649"/>
      <w:r w:rsidRPr="00037EB1">
        <w:lastRenderedPageBreak/>
        <w:t xml:space="preserve">HOEPA Regulations for All Mortgages (Section </w:t>
      </w:r>
      <w:r w:rsidR="00F623A5">
        <w:t>1026</w:t>
      </w:r>
      <w:r w:rsidRPr="00037EB1">
        <w:t>.32)</w:t>
      </w:r>
      <w:bookmarkEnd w:id="165"/>
    </w:p>
    <w:p w:rsidR="00037EB1" w:rsidRDefault="00037EB1" w:rsidP="00037EB1">
      <w:pPr>
        <w:ind w:left="1083" w:right="1168"/>
      </w:pPr>
    </w:p>
    <w:p w:rsidR="00037EB1" w:rsidRDefault="00037EB1" w:rsidP="00037EB1">
      <w:pPr>
        <w:ind w:left="1083" w:right="1168"/>
        <w:jc w:val="both"/>
        <w:rPr>
          <w:sz w:val="24"/>
          <w:szCs w:val="24"/>
        </w:rPr>
      </w:pPr>
      <w:r w:rsidRPr="00037EB1">
        <w:rPr>
          <w:sz w:val="24"/>
          <w:szCs w:val="24"/>
        </w:rPr>
        <w:t>HOEPA designates protections specific to various mortgage types it defines by the level of the APR; however, many of these protections are the same for each defined mortgage type.  First, we</w:t>
      </w:r>
      <w:r w:rsidR="00891977">
        <w:rPr>
          <w:sz w:val="24"/>
          <w:szCs w:val="24"/>
        </w:rPr>
        <w:t xml:space="preserve"> wi</w:t>
      </w:r>
      <w:r w:rsidR="00891977" w:rsidRPr="00037EB1">
        <w:rPr>
          <w:sz w:val="24"/>
          <w:szCs w:val="24"/>
        </w:rPr>
        <w:t xml:space="preserve">ll </w:t>
      </w:r>
      <w:r w:rsidRPr="00037EB1">
        <w:rPr>
          <w:sz w:val="24"/>
          <w:szCs w:val="24"/>
        </w:rPr>
        <w:t>discuss the following protections, which apply to all loans secured by a consumer’s principal dwelling, regardless of the loan’s APR.</w:t>
      </w:r>
    </w:p>
    <w:p w:rsidR="00037EB1" w:rsidRDefault="00037EB1" w:rsidP="00037EB1">
      <w:pPr>
        <w:ind w:left="1083" w:right="1168"/>
        <w:jc w:val="both"/>
        <w:rPr>
          <w:sz w:val="24"/>
          <w:szCs w:val="24"/>
        </w:rPr>
      </w:pPr>
    </w:p>
    <w:p w:rsidR="007A6DA8" w:rsidRDefault="00037EB1" w:rsidP="005212C7">
      <w:pPr>
        <w:pStyle w:val="ListParagraph"/>
        <w:numPr>
          <w:ilvl w:val="0"/>
          <w:numId w:val="49"/>
        </w:numPr>
        <w:ind w:right="1168"/>
        <w:jc w:val="both"/>
        <w:rPr>
          <w:sz w:val="24"/>
          <w:szCs w:val="24"/>
        </w:rPr>
      </w:pPr>
      <w:r w:rsidRPr="00D159F0">
        <w:rPr>
          <w:b/>
          <w:sz w:val="24"/>
          <w:szCs w:val="24"/>
        </w:rPr>
        <w:t xml:space="preserve">Servicer </w:t>
      </w:r>
      <w:r w:rsidR="005A3439">
        <w:rPr>
          <w:b/>
          <w:sz w:val="24"/>
          <w:szCs w:val="24"/>
        </w:rPr>
        <w:t>L</w:t>
      </w:r>
      <w:r w:rsidR="005A3439" w:rsidRPr="00D159F0">
        <w:rPr>
          <w:b/>
          <w:sz w:val="24"/>
          <w:szCs w:val="24"/>
        </w:rPr>
        <w:t>imitations</w:t>
      </w:r>
      <w:r w:rsidRPr="00D159F0">
        <w:rPr>
          <w:b/>
          <w:sz w:val="24"/>
          <w:szCs w:val="24"/>
        </w:rPr>
        <w:t>:</w:t>
      </w:r>
      <w:r w:rsidRPr="00037EB1">
        <w:rPr>
          <w:sz w:val="24"/>
          <w:szCs w:val="24"/>
        </w:rPr>
        <w:t xml:space="preserve"> Prohibits certain servicing practices, such as failing to credit a payment to a consumer’s account when the servicer receives it, failing to provide a payoff statement within a reasonable period of time, and </w:t>
      </w:r>
      <w:r w:rsidR="00891977">
        <w:rPr>
          <w:sz w:val="24"/>
          <w:szCs w:val="24"/>
        </w:rPr>
        <w:t>‘</w:t>
      </w:r>
      <w:r w:rsidRPr="00037EB1">
        <w:rPr>
          <w:sz w:val="24"/>
          <w:szCs w:val="24"/>
        </w:rPr>
        <w:t>pyramiding</w:t>
      </w:r>
      <w:r w:rsidR="00891977">
        <w:rPr>
          <w:sz w:val="24"/>
          <w:szCs w:val="24"/>
        </w:rPr>
        <w:t>’</w:t>
      </w:r>
      <w:r w:rsidR="00891977" w:rsidRPr="00037EB1">
        <w:rPr>
          <w:sz w:val="24"/>
          <w:szCs w:val="24"/>
        </w:rPr>
        <w:t xml:space="preserve"> </w:t>
      </w:r>
      <w:r w:rsidRPr="00037EB1">
        <w:rPr>
          <w:sz w:val="24"/>
          <w:szCs w:val="24"/>
        </w:rPr>
        <w:t>late fees.  As a note, HELOCs are excluded from this regulation.</w:t>
      </w:r>
    </w:p>
    <w:p w:rsidR="00D159F0" w:rsidRPr="00037EB1" w:rsidRDefault="00D159F0" w:rsidP="00D159F0">
      <w:pPr>
        <w:pStyle w:val="ListParagraph"/>
        <w:ind w:left="1440" w:right="1168"/>
        <w:jc w:val="both"/>
        <w:rPr>
          <w:sz w:val="24"/>
          <w:szCs w:val="24"/>
        </w:rPr>
      </w:pPr>
    </w:p>
    <w:p w:rsidR="007A6DA8" w:rsidRDefault="00037EB1" w:rsidP="005212C7">
      <w:pPr>
        <w:pStyle w:val="ListParagraph"/>
        <w:numPr>
          <w:ilvl w:val="0"/>
          <w:numId w:val="50"/>
        </w:numPr>
        <w:ind w:right="1168"/>
        <w:jc w:val="both"/>
        <w:rPr>
          <w:sz w:val="24"/>
          <w:szCs w:val="24"/>
        </w:rPr>
      </w:pPr>
      <w:r w:rsidRPr="00D159F0">
        <w:rPr>
          <w:b/>
          <w:sz w:val="24"/>
          <w:szCs w:val="24"/>
        </w:rPr>
        <w:t xml:space="preserve">Appraisal </w:t>
      </w:r>
      <w:r w:rsidR="005A3439">
        <w:rPr>
          <w:b/>
          <w:sz w:val="24"/>
          <w:szCs w:val="24"/>
        </w:rPr>
        <w:t>L</w:t>
      </w:r>
      <w:r w:rsidR="005A3439" w:rsidRPr="00D159F0">
        <w:rPr>
          <w:b/>
          <w:sz w:val="24"/>
          <w:szCs w:val="24"/>
        </w:rPr>
        <w:t>imitations</w:t>
      </w:r>
      <w:r w:rsidRPr="00D159F0">
        <w:rPr>
          <w:b/>
          <w:sz w:val="24"/>
          <w:szCs w:val="24"/>
        </w:rPr>
        <w:t>:</w:t>
      </w:r>
      <w:r w:rsidRPr="00037EB1">
        <w:rPr>
          <w:sz w:val="24"/>
          <w:szCs w:val="24"/>
        </w:rPr>
        <w:t xml:space="preserve"> Prohibits a creditor or broker from coercing or encouraging an appraiser to misrepresent the value of a home.  Importantly, this rule specifies not </w:t>
      </w:r>
      <w:r w:rsidR="00F355FE">
        <w:rPr>
          <w:sz w:val="24"/>
          <w:szCs w:val="24"/>
        </w:rPr>
        <w:t>informing</w:t>
      </w:r>
      <w:r w:rsidR="00F355FE" w:rsidRPr="00037EB1">
        <w:rPr>
          <w:sz w:val="24"/>
          <w:szCs w:val="24"/>
        </w:rPr>
        <w:t xml:space="preserve"> </w:t>
      </w:r>
      <w:r w:rsidRPr="00037EB1">
        <w:rPr>
          <w:sz w:val="24"/>
          <w:szCs w:val="24"/>
        </w:rPr>
        <w:t xml:space="preserve">the appraiser </w:t>
      </w:r>
      <w:r w:rsidR="00F355FE">
        <w:rPr>
          <w:sz w:val="24"/>
          <w:szCs w:val="24"/>
        </w:rPr>
        <w:t>of the</w:t>
      </w:r>
      <w:r w:rsidR="00F355FE" w:rsidRPr="00037EB1">
        <w:rPr>
          <w:sz w:val="24"/>
          <w:szCs w:val="24"/>
        </w:rPr>
        <w:t xml:space="preserve"> </w:t>
      </w:r>
      <w:r w:rsidRPr="00037EB1">
        <w:rPr>
          <w:sz w:val="24"/>
          <w:szCs w:val="24"/>
        </w:rPr>
        <w:t xml:space="preserve">minimum reported value needed to approve the loan, not conditioning </w:t>
      </w:r>
      <w:r w:rsidR="00891977">
        <w:rPr>
          <w:sz w:val="24"/>
          <w:szCs w:val="24"/>
        </w:rPr>
        <w:t xml:space="preserve">an </w:t>
      </w:r>
      <w:r w:rsidRPr="00037EB1">
        <w:rPr>
          <w:sz w:val="24"/>
          <w:szCs w:val="24"/>
        </w:rPr>
        <w:t xml:space="preserve">appraiser’s compensation on the closing of the loan and not suggesting to the appraiser that they may be excluded from future transactions based on their appraisal. </w:t>
      </w:r>
    </w:p>
    <w:p w:rsidR="00D159F0" w:rsidRPr="00D159F0" w:rsidRDefault="00D159F0" w:rsidP="00D159F0">
      <w:pPr>
        <w:pStyle w:val="ListParagraph"/>
        <w:rPr>
          <w:sz w:val="24"/>
          <w:szCs w:val="24"/>
        </w:rPr>
      </w:pPr>
    </w:p>
    <w:p w:rsidR="007A6DA8" w:rsidRDefault="00037EB1" w:rsidP="005212C7">
      <w:pPr>
        <w:pStyle w:val="ListParagraph"/>
        <w:numPr>
          <w:ilvl w:val="0"/>
          <w:numId w:val="51"/>
        </w:numPr>
        <w:ind w:right="1168"/>
        <w:jc w:val="both"/>
        <w:rPr>
          <w:sz w:val="24"/>
          <w:szCs w:val="24"/>
        </w:rPr>
      </w:pPr>
      <w:r w:rsidRPr="00D159F0">
        <w:rPr>
          <w:b/>
          <w:sz w:val="24"/>
          <w:szCs w:val="24"/>
        </w:rPr>
        <w:t>Further Advertising Limits:</w:t>
      </w:r>
      <w:r w:rsidRPr="00037EB1">
        <w:rPr>
          <w:sz w:val="24"/>
          <w:szCs w:val="24"/>
        </w:rPr>
        <w:t xml:space="preserve"> Prohibits misleading or deceptive advertising practices</w:t>
      </w:r>
      <w:r w:rsidR="00F355FE">
        <w:rPr>
          <w:sz w:val="24"/>
          <w:szCs w:val="24"/>
        </w:rPr>
        <w:t>,</w:t>
      </w:r>
      <w:r w:rsidR="00F355FE" w:rsidRPr="00037EB1">
        <w:rPr>
          <w:sz w:val="24"/>
          <w:szCs w:val="24"/>
        </w:rPr>
        <w:t xml:space="preserve"> </w:t>
      </w:r>
      <w:r w:rsidRPr="00037EB1">
        <w:rPr>
          <w:sz w:val="24"/>
          <w:szCs w:val="24"/>
        </w:rPr>
        <w:t xml:space="preserve">for example, using the term </w:t>
      </w:r>
      <w:r w:rsidR="00F355FE">
        <w:rPr>
          <w:sz w:val="24"/>
          <w:szCs w:val="24"/>
        </w:rPr>
        <w:t>’</w:t>
      </w:r>
      <w:r w:rsidRPr="00037EB1">
        <w:rPr>
          <w:sz w:val="24"/>
          <w:szCs w:val="24"/>
        </w:rPr>
        <w:t>fixed</w:t>
      </w:r>
      <w:r w:rsidR="00F355FE">
        <w:rPr>
          <w:sz w:val="24"/>
          <w:szCs w:val="24"/>
        </w:rPr>
        <w:t>‘</w:t>
      </w:r>
      <w:r w:rsidR="00F355FE" w:rsidRPr="00037EB1">
        <w:rPr>
          <w:sz w:val="24"/>
          <w:szCs w:val="24"/>
        </w:rPr>
        <w:t xml:space="preserve"> </w:t>
      </w:r>
      <w:r w:rsidRPr="00037EB1">
        <w:rPr>
          <w:sz w:val="24"/>
          <w:szCs w:val="24"/>
        </w:rPr>
        <w:t xml:space="preserve">to describe a rate that is not truly fixed.  </w:t>
      </w:r>
      <w:r w:rsidR="00F355FE">
        <w:rPr>
          <w:sz w:val="24"/>
          <w:szCs w:val="24"/>
        </w:rPr>
        <w:t>This</w:t>
      </w:r>
      <w:r w:rsidR="00F355FE" w:rsidRPr="00037EB1">
        <w:rPr>
          <w:sz w:val="24"/>
          <w:szCs w:val="24"/>
        </w:rPr>
        <w:t xml:space="preserve"> </w:t>
      </w:r>
      <w:r w:rsidRPr="00037EB1">
        <w:rPr>
          <w:sz w:val="24"/>
          <w:szCs w:val="24"/>
        </w:rPr>
        <w:t>also require</w:t>
      </w:r>
      <w:r w:rsidR="00F355FE">
        <w:rPr>
          <w:sz w:val="24"/>
          <w:szCs w:val="24"/>
        </w:rPr>
        <w:t>s</w:t>
      </w:r>
      <w:r w:rsidRPr="00037EB1">
        <w:rPr>
          <w:sz w:val="24"/>
          <w:szCs w:val="24"/>
        </w:rPr>
        <w:t xml:space="preserve"> that all applicable rates or payments be disclosed in advertisements with </w:t>
      </w:r>
      <w:r w:rsidR="00F355FE">
        <w:rPr>
          <w:sz w:val="24"/>
          <w:szCs w:val="24"/>
        </w:rPr>
        <w:t>the same</w:t>
      </w:r>
      <w:r w:rsidR="00F355FE" w:rsidRPr="00037EB1">
        <w:rPr>
          <w:sz w:val="24"/>
          <w:szCs w:val="24"/>
        </w:rPr>
        <w:t xml:space="preserve"> </w:t>
      </w:r>
      <w:r w:rsidRPr="00037EB1">
        <w:rPr>
          <w:sz w:val="24"/>
          <w:szCs w:val="24"/>
        </w:rPr>
        <w:t xml:space="preserve">prominence as </w:t>
      </w:r>
      <w:r w:rsidR="00F355FE">
        <w:rPr>
          <w:sz w:val="24"/>
          <w:szCs w:val="24"/>
        </w:rPr>
        <w:t xml:space="preserve">the </w:t>
      </w:r>
      <w:r w:rsidRPr="00037EB1">
        <w:rPr>
          <w:sz w:val="24"/>
          <w:szCs w:val="24"/>
        </w:rPr>
        <w:t xml:space="preserve">advertised introductory or </w:t>
      </w:r>
      <w:proofErr w:type="gramStart"/>
      <w:r w:rsidR="00616220">
        <w:rPr>
          <w:sz w:val="24"/>
          <w:szCs w:val="24"/>
        </w:rPr>
        <w:t>’</w:t>
      </w:r>
      <w:r w:rsidR="00616220" w:rsidRPr="00037EB1">
        <w:rPr>
          <w:sz w:val="24"/>
          <w:szCs w:val="24"/>
        </w:rPr>
        <w:t>teaser</w:t>
      </w:r>
      <w:r w:rsidR="00616220">
        <w:rPr>
          <w:sz w:val="24"/>
          <w:szCs w:val="24"/>
        </w:rPr>
        <w:t xml:space="preserve">‘ </w:t>
      </w:r>
      <w:r w:rsidR="00616220" w:rsidRPr="00037EB1">
        <w:rPr>
          <w:sz w:val="24"/>
          <w:szCs w:val="24"/>
        </w:rPr>
        <w:t>rates</w:t>
      </w:r>
      <w:proofErr w:type="gramEnd"/>
      <w:r w:rsidRPr="00037EB1">
        <w:rPr>
          <w:sz w:val="24"/>
          <w:szCs w:val="24"/>
        </w:rPr>
        <w:t>.  See Section IV (c) of our TILA discussion for more information.</w:t>
      </w:r>
    </w:p>
    <w:p w:rsidR="00D159F0" w:rsidRPr="00037EB1" w:rsidRDefault="00D159F0" w:rsidP="00D159F0">
      <w:pPr>
        <w:pStyle w:val="ListParagraph"/>
        <w:ind w:left="1440" w:right="1168"/>
        <w:jc w:val="both"/>
        <w:rPr>
          <w:sz w:val="24"/>
          <w:szCs w:val="24"/>
        </w:rPr>
      </w:pPr>
    </w:p>
    <w:p w:rsidR="007A6DA8" w:rsidRDefault="00DC057C" w:rsidP="005212C7">
      <w:pPr>
        <w:pStyle w:val="ListParagraph"/>
        <w:numPr>
          <w:ilvl w:val="0"/>
          <w:numId w:val="52"/>
        </w:numPr>
        <w:ind w:right="1168"/>
        <w:jc w:val="both"/>
        <w:rPr>
          <w:sz w:val="24"/>
          <w:szCs w:val="24"/>
        </w:rPr>
      </w:pPr>
      <w:r w:rsidRPr="00D159F0">
        <w:rPr>
          <w:b/>
          <w:sz w:val="24"/>
          <w:szCs w:val="24"/>
        </w:rPr>
        <w:t>3</w:t>
      </w:r>
      <w:r>
        <w:rPr>
          <w:b/>
          <w:sz w:val="24"/>
          <w:szCs w:val="24"/>
        </w:rPr>
        <w:t>-</w:t>
      </w:r>
      <w:r w:rsidRPr="00D159F0">
        <w:rPr>
          <w:b/>
          <w:sz w:val="24"/>
          <w:szCs w:val="24"/>
        </w:rPr>
        <w:t>Business</w:t>
      </w:r>
      <w:r>
        <w:rPr>
          <w:b/>
          <w:sz w:val="24"/>
          <w:szCs w:val="24"/>
        </w:rPr>
        <w:t>-</w:t>
      </w:r>
      <w:r w:rsidR="00037EB1" w:rsidRPr="00D159F0">
        <w:rPr>
          <w:b/>
          <w:sz w:val="24"/>
          <w:szCs w:val="24"/>
        </w:rPr>
        <w:t>Day Disclosure Requirement:</w:t>
      </w:r>
      <w:r w:rsidR="00037EB1" w:rsidRPr="00037EB1">
        <w:rPr>
          <w:sz w:val="24"/>
          <w:szCs w:val="24"/>
        </w:rPr>
        <w:t xml:space="preserve"> These rules require </w:t>
      </w:r>
      <w:r w:rsidR="00F355FE">
        <w:rPr>
          <w:sz w:val="24"/>
          <w:szCs w:val="24"/>
        </w:rPr>
        <w:t>that</w:t>
      </w:r>
      <w:r w:rsidR="00037EB1" w:rsidRPr="00037EB1">
        <w:rPr>
          <w:sz w:val="24"/>
          <w:szCs w:val="24"/>
        </w:rPr>
        <w:t xml:space="preserve"> Truth in Lending disclosures </w:t>
      </w:r>
      <w:r w:rsidR="00F355FE">
        <w:rPr>
          <w:sz w:val="24"/>
          <w:szCs w:val="24"/>
        </w:rPr>
        <w:t xml:space="preserve">be provided </w:t>
      </w:r>
      <w:r w:rsidR="00037EB1" w:rsidRPr="00037EB1">
        <w:rPr>
          <w:sz w:val="24"/>
          <w:szCs w:val="24"/>
        </w:rPr>
        <w:t xml:space="preserve">to </w:t>
      </w:r>
      <w:r w:rsidR="00F355FE">
        <w:rPr>
          <w:sz w:val="24"/>
          <w:szCs w:val="24"/>
        </w:rPr>
        <w:t xml:space="preserve">the </w:t>
      </w:r>
      <w:r w:rsidR="00037EB1" w:rsidRPr="00037EB1">
        <w:rPr>
          <w:sz w:val="24"/>
          <w:szCs w:val="24"/>
        </w:rPr>
        <w:t xml:space="preserve">borrowers early enough </w:t>
      </w:r>
      <w:r w:rsidR="00FB7683">
        <w:rPr>
          <w:sz w:val="24"/>
          <w:szCs w:val="24"/>
        </w:rPr>
        <w:t xml:space="preserve">to </w:t>
      </w:r>
      <w:r w:rsidR="00F355FE">
        <w:rPr>
          <w:sz w:val="24"/>
          <w:szCs w:val="24"/>
        </w:rPr>
        <w:t>enable them</w:t>
      </w:r>
      <w:r w:rsidR="00037EB1" w:rsidRPr="00037EB1">
        <w:rPr>
          <w:sz w:val="24"/>
          <w:szCs w:val="24"/>
        </w:rPr>
        <w:t xml:space="preserve"> to shop </w:t>
      </w:r>
      <w:r w:rsidR="00F355FE">
        <w:rPr>
          <w:sz w:val="24"/>
          <w:szCs w:val="24"/>
        </w:rPr>
        <w:t xml:space="preserve">around </w:t>
      </w:r>
      <w:r w:rsidR="00037EB1" w:rsidRPr="00037EB1">
        <w:rPr>
          <w:sz w:val="24"/>
          <w:szCs w:val="24"/>
        </w:rPr>
        <w:t xml:space="preserve">for a mortgage. Under HOEPA, creditors would have to provide a good faith estimate of the loan costs, including a schedule of payments, </w:t>
      </w:r>
      <w:r w:rsidR="00037EB1" w:rsidRPr="00D159F0">
        <w:rPr>
          <w:b/>
          <w:sz w:val="24"/>
          <w:szCs w:val="24"/>
        </w:rPr>
        <w:t>within three business days</w:t>
      </w:r>
      <w:r w:rsidR="00037EB1" w:rsidRPr="00037EB1">
        <w:rPr>
          <w:sz w:val="24"/>
          <w:szCs w:val="24"/>
        </w:rPr>
        <w:t xml:space="preserve"> after a consumer applies for any mortgage loan secured by a consumer’s principal dwelling, such as a </w:t>
      </w:r>
      <w:r w:rsidR="00FB7683" w:rsidRPr="00037EB1">
        <w:rPr>
          <w:sz w:val="24"/>
          <w:szCs w:val="24"/>
        </w:rPr>
        <w:t>home</w:t>
      </w:r>
      <w:r w:rsidR="00FB7683">
        <w:rPr>
          <w:sz w:val="24"/>
          <w:szCs w:val="24"/>
        </w:rPr>
        <w:t>-</w:t>
      </w:r>
      <w:r w:rsidR="00037EB1" w:rsidRPr="00037EB1">
        <w:rPr>
          <w:sz w:val="24"/>
          <w:szCs w:val="24"/>
        </w:rPr>
        <w:t xml:space="preserve">improvement loan or a loan to refinance an existing loan.  </w:t>
      </w:r>
    </w:p>
    <w:p w:rsidR="00037EB1" w:rsidRDefault="00037EB1" w:rsidP="00037EB1">
      <w:pPr>
        <w:pStyle w:val="ListParagraph"/>
        <w:ind w:left="1440" w:right="1168"/>
        <w:jc w:val="both"/>
        <w:rPr>
          <w:sz w:val="24"/>
          <w:szCs w:val="24"/>
        </w:rPr>
      </w:pPr>
    </w:p>
    <w:p w:rsidR="00D159F0" w:rsidRDefault="00037EB1" w:rsidP="00037EB1">
      <w:pPr>
        <w:pStyle w:val="ListParagraph"/>
        <w:ind w:left="1440" w:right="1168"/>
        <w:jc w:val="both"/>
        <w:rPr>
          <w:sz w:val="24"/>
          <w:szCs w:val="24"/>
        </w:rPr>
        <w:sectPr w:rsidR="00D159F0" w:rsidSect="00491C63">
          <w:headerReference w:type="default" r:id="rId33"/>
          <w:pgSz w:w="12240" w:h="15840"/>
          <w:pgMar w:top="1440" w:right="720" w:bottom="1440" w:left="720" w:header="720" w:footer="720" w:gutter="0"/>
          <w:cols w:space="720"/>
          <w:docGrid w:linePitch="360"/>
        </w:sectPr>
      </w:pPr>
      <w:r w:rsidRPr="00037EB1">
        <w:rPr>
          <w:sz w:val="24"/>
          <w:szCs w:val="24"/>
        </w:rPr>
        <w:t xml:space="preserve">Before HOEPA, early cost estimates were only required for home-purchase loans.  In addition, HOEPA now provides that consumers cannot be charged any fee until after the consumer receives the disclosures, except a reasonable fee for obtaining </w:t>
      </w:r>
      <w:r w:rsidRPr="00037EB1">
        <w:rPr>
          <w:sz w:val="24"/>
          <w:szCs w:val="24"/>
        </w:rPr>
        <w:lastRenderedPageBreak/>
        <w:t xml:space="preserve">the consumer’s credit history.  As you </w:t>
      </w:r>
      <w:r w:rsidR="00F355FE">
        <w:rPr>
          <w:sz w:val="24"/>
          <w:szCs w:val="24"/>
        </w:rPr>
        <w:t xml:space="preserve">can </w:t>
      </w:r>
      <w:r w:rsidRPr="00037EB1">
        <w:rPr>
          <w:sz w:val="24"/>
          <w:szCs w:val="24"/>
        </w:rPr>
        <w:t xml:space="preserve">see, MDIA extended this HOEPA 3-business day waiting period to most mortgage loans, purchase or refinance, principal dwelling or investor properties.  So, now you </w:t>
      </w:r>
      <w:r w:rsidR="00F355FE">
        <w:rPr>
          <w:sz w:val="24"/>
          <w:szCs w:val="24"/>
        </w:rPr>
        <w:t>do not</w:t>
      </w:r>
      <w:r w:rsidR="00F355FE" w:rsidRPr="00037EB1">
        <w:rPr>
          <w:sz w:val="24"/>
          <w:szCs w:val="24"/>
        </w:rPr>
        <w:t xml:space="preserve"> </w:t>
      </w:r>
      <w:r w:rsidRPr="00037EB1">
        <w:rPr>
          <w:sz w:val="24"/>
          <w:szCs w:val="24"/>
        </w:rPr>
        <w:t>have to worry about this requirement just for HOEPA.  It applies to most general mortgages.</w:t>
      </w:r>
    </w:p>
    <w:p w:rsidR="00037EB1" w:rsidRDefault="00D159F0" w:rsidP="00AF7B92">
      <w:pPr>
        <w:pStyle w:val="Heading1"/>
      </w:pPr>
      <w:bookmarkStart w:id="166" w:name="_Toc393811650"/>
      <w:r w:rsidRPr="00D159F0">
        <w:lastRenderedPageBreak/>
        <w:t>Higher-Priced Mortgages</w:t>
      </w:r>
      <w:bookmarkEnd w:id="166"/>
    </w:p>
    <w:p w:rsidR="00D159F0" w:rsidRDefault="00D159F0" w:rsidP="00D159F0">
      <w:pPr>
        <w:autoSpaceDE w:val="0"/>
        <w:autoSpaceDN w:val="0"/>
        <w:adjustRightInd w:val="0"/>
        <w:ind w:left="1800" w:right="1170"/>
        <w:jc w:val="center"/>
        <w:rPr>
          <w:rFonts w:ascii="Humnst777 Lt BT" w:hAnsi="Humnst777 Lt BT"/>
          <w:color w:val="E36C0A" w:themeColor="accent6" w:themeShade="BF"/>
          <w:sz w:val="56"/>
          <w:szCs w:val="56"/>
        </w:rPr>
      </w:pPr>
    </w:p>
    <w:p w:rsidR="00D159F0" w:rsidRDefault="00D159F0" w:rsidP="005212C7">
      <w:pPr>
        <w:pStyle w:val="Heading2"/>
        <w:numPr>
          <w:ilvl w:val="0"/>
          <w:numId w:val="66"/>
        </w:numPr>
      </w:pPr>
      <w:bookmarkStart w:id="167" w:name="_Toc393811651"/>
      <w:r w:rsidRPr="00D159F0">
        <w:t>Background for HOEPA Section 32 and Section 35</w:t>
      </w:r>
      <w:bookmarkEnd w:id="167"/>
    </w:p>
    <w:p w:rsidR="00D159F0" w:rsidRDefault="00D159F0" w:rsidP="00681EE1">
      <w:pPr>
        <w:pStyle w:val="ListParagraph"/>
        <w:autoSpaceDE w:val="0"/>
        <w:autoSpaceDN w:val="0"/>
        <w:adjustRightInd w:val="0"/>
        <w:ind w:left="1080" w:right="1170"/>
        <w:jc w:val="both"/>
        <w:rPr>
          <w:sz w:val="24"/>
          <w:szCs w:val="24"/>
        </w:rPr>
      </w:pPr>
      <w:r w:rsidRPr="00D159F0">
        <w:rPr>
          <w:sz w:val="24"/>
          <w:szCs w:val="24"/>
        </w:rPr>
        <w:t>Now we’ll discuss the HOEPA definitions for specific loan types and the associated requirements.</w:t>
      </w:r>
    </w:p>
    <w:p w:rsidR="00D159F0" w:rsidRPr="00D159F0" w:rsidRDefault="00D159F0" w:rsidP="00681EE1">
      <w:pPr>
        <w:pStyle w:val="ListParagraph"/>
        <w:autoSpaceDE w:val="0"/>
        <w:autoSpaceDN w:val="0"/>
        <w:adjustRightInd w:val="0"/>
        <w:ind w:left="1080" w:right="1170"/>
        <w:jc w:val="both"/>
        <w:rPr>
          <w:sz w:val="24"/>
          <w:szCs w:val="24"/>
        </w:rPr>
      </w:pPr>
    </w:p>
    <w:p w:rsidR="00D159F0" w:rsidRDefault="00D159F0" w:rsidP="00681EE1">
      <w:pPr>
        <w:pStyle w:val="ListParagraph"/>
        <w:autoSpaceDE w:val="0"/>
        <w:autoSpaceDN w:val="0"/>
        <w:adjustRightInd w:val="0"/>
        <w:ind w:left="1080" w:right="1170"/>
        <w:jc w:val="both"/>
        <w:rPr>
          <w:sz w:val="24"/>
          <w:szCs w:val="24"/>
        </w:rPr>
      </w:pPr>
      <w:r w:rsidRPr="00D159F0">
        <w:rPr>
          <w:sz w:val="24"/>
          <w:szCs w:val="24"/>
        </w:rPr>
        <w:t>Because the practice of predatory lending tends to be more prevalent in the field of subprime lending, HOEPA provides specific regulations for what they suggest are “subprime” loans.  HOEPA referred to this class of loans as “Higher-Priced Mortgages.”  HOEPA adopted a “Threshold Approach” to define higher-priced mortgages.  Individual states that modeled their law on HOEPA have adopted the law with a different, and often more expansive</w:t>
      </w:r>
      <w:r w:rsidR="00F355FE">
        <w:rPr>
          <w:sz w:val="24"/>
          <w:szCs w:val="24"/>
        </w:rPr>
        <w:t>,</w:t>
      </w:r>
      <w:r w:rsidRPr="00D159F0">
        <w:rPr>
          <w:sz w:val="24"/>
          <w:szCs w:val="24"/>
        </w:rPr>
        <w:t xml:space="preserve"> threshold.  </w:t>
      </w:r>
    </w:p>
    <w:p w:rsidR="00D159F0" w:rsidRPr="00D159F0" w:rsidRDefault="00D159F0" w:rsidP="00681EE1">
      <w:pPr>
        <w:pStyle w:val="ListParagraph"/>
        <w:autoSpaceDE w:val="0"/>
        <w:autoSpaceDN w:val="0"/>
        <w:adjustRightInd w:val="0"/>
        <w:ind w:left="1080" w:right="1170"/>
        <w:jc w:val="both"/>
        <w:rPr>
          <w:sz w:val="24"/>
          <w:szCs w:val="24"/>
        </w:rPr>
      </w:pPr>
    </w:p>
    <w:p w:rsidR="00D159F0" w:rsidRPr="00D159F0" w:rsidRDefault="00D159F0" w:rsidP="00681EE1">
      <w:pPr>
        <w:pStyle w:val="ListParagraph"/>
        <w:autoSpaceDE w:val="0"/>
        <w:autoSpaceDN w:val="0"/>
        <w:adjustRightInd w:val="0"/>
        <w:ind w:left="1080" w:right="1170"/>
        <w:jc w:val="both"/>
        <w:rPr>
          <w:sz w:val="24"/>
          <w:szCs w:val="24"/>
        </w:rPr>
      </w:pPr>
      <w:r w:rsidRPr="00D159F0">
        <w:rPr>
          <w:sz w:val="24"/>
          <w:szCs w:val="24"/>
        </w:rPr>
        <w:t xml:space="preserve">HOEPA’s “Higher-Priced Mortgage” definition includes two main categories.  </w:t>
      </w:r>
    </w:p>
    <w:p w:rsidR="00D159F0" w:rsidRDefault="00D159F0" w:rsidP="005212C7">
      <w:pPr>
        <w:pStyle w:val="ListParagraph"/>
        <w:numPr>
          <w:ilvl w:val="0"/>
          <w:numId w:val="26"/>
        </w:numPr>
        <w:autoSpaceDE w:val="0"/>
        <w:autoSpaceDN w:val="0"/>
        <w:adjustRightInd w:val="0"/>
        <w:ind w:right="1170"/>
        <w:jc w:val="both"/>
        <w:rPr>
          <w:sz w:val="24"/>
          <w:szCs w:val="24"/>
        </w:rPr>
      </w:pPr>
      <w:r w:rsidRPr="00D159F0">
        <w:rPr>
          <w:sz w:val="24"/>
          <w:szCs w:val="24"/>
        </w:rPr>
        <w:t>A broader category created in 2008 that covers general subprime loans (Section 35).  (Covered in Section A below)</w:t>
      </w:r>
    </w:p>
    <w:p w:rsidR="00D159F0" w:rsidRDefault="00D159F0" w:rsidP="005212C7">
      <w:pPr>
        <w:pStyle w:val="ListParagraph"/>
        <w:numPr>
          <w:ilvl w:val="1"/>
          <w:numId w:val="10"/>
        </w:numPr>
        <w:autoSpaceDE w:val="0"/>
        <w:autoSpaceDN w:val="0"/>
        <w:adjustRightInd w:val="0"/>
        <w:ind w:right="1170"/>
        <w:jc w:val="both"/>
        <w:rPr>
          <w:sz w:val="24"/>
          <w:szCs w:val="24"/>
        </w:rPr>
      </w:pPr>
      <w:r w:rsidRPr="00D159F0">
        <w:rPr>
          <w:sz w:val="24"/>
          <w:szCs w:val="24"/>
        </w:rPr>
        <w:t>A Federal Reserve Ruling that took effect in April 2011 included, for specific rulings, a category of “jumbo” loans</w:t>
      </w:r>
    </w:p>
    <w:p w:rsidR="00D159F0" w:rsidRPr="00D159F0" w:rsidRDefault="00D159F0" w:rsidP="00681EE1">
      <w:pPr>
        <w:pStyle w:val="ListParagraph"/>
        <w:autoSpaceDE w:val="0"/>
        <w:autoSpaceDN w:val="0"/>
        <w:adjustRightInd w:val="0"/>
        <w:ind w:left="2880" w:right="1170"/>
        <w:jc w:val="both"/>
        <w:rPr>
          <w:sz w:val="24"/>
          <w:szCs w:val="24"/>
        </w:rPr>
      </w:pPr>
    </w:p>
    <w:p w:rsidR="00D159F0" w:rsidRDefault="00D159F0" w:rsidP="005212C7">
      <w:pPr>
        <w:pStyle w:val="ListParagraph"/>
        <w:numPr>
          <w:ilvl w:val="0"/>
          <w:numId w:val="26"/>
        </w:numPr>
        <w:autoSpaceDE w:val="0"/>
        <w:autoSpaceDN w:val="0"/>
        <w:adjustRightInd w:val="0"/>
        <w:ind w:right="1170"/>
        <w:jc w:val="both"/>
        <w:rPr>
          <w:sz w:val="24"/>
          <w:szCs w:val="24"/>
        </w:rPr>
      </w:pPr>
      <w:r w:rsidRPr="00D159F0">
        <w:rPr>
          <w:sz w:val="24"/>
          <w:szCs w:val="24"/>
        </w:rPr>
        <w:t>Another category, which was created in 1994 and amended and significantly expanded in 2002, covers only “high-cost” refinance mortgages.  These are often referred to as Section 32 mortgages. (Covered in Section B below)</w:t>
      </w:r>
    </w:p>
    <w:p w:rsidR="000E1709" w:rsidRDefault="000E1709">
      <w:pPr>
        <w:autoSpaceDE w:val="0"/>
        <w:autoSpaceDN w:val="0"/>
        <w:adjustRightInd w:val="0"/>
        <w:ind w:right="1170"/>
        <w:jc w:val="both"/>
        <w:rPr>
          <w:sz w:val="24"/>
          <w:szCs w:val="24"/>
        </w:rPr>
      </w:pPr>
    </w:p>
    <w:p w:rsidR="000E1709" w:rsidRDefault="000E1709">
      <w:pPr>
        <w:autoSpaceDE w:val="0"/>
        <w:autoSpaceDN w:val="0"/>
        <w:adjustRightInd w:val="0"/>
        <w:ind w:right="1170"/>
        <w:jc w:val="both"/>
        <w:rPr>
          <w:sz w:val="24"/>
          <w:szCs w:val="24"/>
        </w:rPr>
      </w:pPr>
    </w:p>
    <w:p w:rsidR="000E1709" w:rsidRDefault="000E1709">
      <w:pPr>
        <w:autoSpaceDE w:val="0"/>
        <w:autoSpaceDN w:val="0"/>
        <w:adjustRightInd w:val="0"/>
        <w:ind w:right="1170"/>
        <w:jc w:val="both"/>
        <w:rPr>
          <w:sz w:val="24"/>
          <w:szCs w:val="24"/>
        </w:rPr>
      </w:pPr>
    </w:p>
    <w:p w:rsidR="000E1709" w:rsidRDefault="000E1709">
      <w:pPr>
        <w:autoSpaceDE w:val="0"/>
        <w:autoSpaceDN w:val="0"/>
        <w:adjustRightInd w:val="0"/>
        <w:ind w:right="1170"/>
        <w:jc w:val="both"/>
        <w:rPr>
          <w:sz w:val="24"/>
          <w:szCs w:val="24"/>
        </w:rPr>
      </w:pPr>
    </w:p>
    <w:p w:rsidR="000E1709" w:rsidRDefault="000E1709">
      <w:pPr>
        <w:autoSpaceDE w:val="0"/>
        <w:autoSpaceDN w:val="0"/>
        <w:adjustRightInd w:val="0"/>
        <w:ind w:right="1170"/>
        <w:jc w:val="both"/>
        <w:rPr>
          <w:sz w:val="24"/>
          <w:szCs w:val="24"/>
        </w:rPr>
      </w:pPr>
    </w:p>
    <w:p w:rsidR="000E1709" w:rsidRDefault="000E1709">
      <w:pPr>
        <w:autoSpaceDE w:val="0"/>
        <w:autoSpaceDN w:val="0"/>
        <w:adjustRightInd w:val="0"/>
        <w:ind w:right="1170"/>
        <w:jc w:val="both"/>
        <w:rPr>
          <w:sz w:val="24"/>
          <w:szCs w:val="24"/>
        </w:rPr>
      </w:pPr>
    </w:p>
    <w:p w:rsidR="00D159F0" w:rsidRDefault="00D159F0" w:rsidP="00681EE1">
      <w:pPr>
        <w:autoSpaceDE w:val="0"/>
        <w:autoSpaceDN w:val="0"/>
        <w:adjustRightInd w:val="0"/>
        <w:ind w:right="1170"/>
        <w:jc w:val="both"/>
        <w:rPr>
          <w:sz w:val="24"/>
          <w:szCs w:val="24"/>
        </w:rPr>
      </w:pPr>
    </w:p>
    <w:p w:rsidR="00FB7683" w:rsidRDefault="00FB7683" w:rsidP="00681EE1">
      <w:pPr>
        <w:autoSpaceDE w:val="0"/>
        <w:autoSpaceDN w:val="0"/>
        <w:adjustRightInd w:val="0"/>
        <w:ind w:right="1170"/>
        <w:jc w:val="both"/>
        <w:rPr>
          <w:sz w:val="24"/>
          <w:szCs w:val="24"/>
        </w:rPr>
      </w:pPr>
    </w:p>
    <w:p w:rsidR="00D159F0" w:rsidRPr="00AF7B92" w:rsidRDefault="00D159F0" w:rsidP="00AF7B92">
      <w:pPr>
        <w:pStyle w:val="Heading2"/>
      </w:pPr>
      <w:bookmarkStart w:id="168" w:name="_Toc393811652"/>
      <w:r w:rsidRPr="00D159F0">
        <w:lastRenderedPageBreak/>
        <w:t xml:space="preserve">Higher-Priced Mortgage </w:t>
      </w:r>
      <w:r w:rsidR="0018700A">
        <w:t xml:space="preserve">Loans </w:t>
      </w:r>
      <w:r w:rsidRPr="00D159F0">
        <w:t>(in HOEPA Section 35), Loans Covered</w:t>
      </w:r>
      <w:r w:rsidR="00333F58">
        <w:rPr>
          <w:rStyle w:val="FootnoteReference"/>
          <w:rFonts w:ascii="Humnst777 Lt BT" w:hAnsi="Humnst777 Lt BT"/>
          <w:color w:val="365F91" w:themeColor="accent1" w:themeShade="BF"/>
        </w:rPr>
        <w:footnoteReference w:id="25"/>
      </w:r>
      <w:bookmarkEnd w:id="168"/>
    </w:p>
    <w:p w:rsidR="00944995" w:rsidRPr="00944995" w:rsidRDefault="00944995" w:rsidP="00944995">
      <w:pPr>
        <w:autoSpaceDE w:val="0"/>
        <w:autoSpaceDN w:val="0"/>
        <w:adjustRightInd w:val="0"/>
        <w:ind w:left="1080" w:right="1170"/>
        <w:jc w:val="both"/>
        <w:rPr>
          <w:sz w:val="24"/>
          <w:szCs w:val="24"/>
        </w:rPr>
      </w:pPr>
      <w:r w:rsidRPr="00944995">
        <w:rPr>
          <w:sz w:val="24"/>
          <w:szCs w:val="24"/>
        </w:rPr>
        <w:t xml:space="preserve">   </w:t>
      </w:r>
    </w:p>
    <w:p w:rsidR="00681EE1" w:rsidRDefault="00681EE1" w:rsidP="00681EE1">
      <w:pPr>
        <w:autoSpaceDE w:val="0"/>
        <w:autoSpaceDN w:val="0"/>
        <w:adjustRightInd w:val="0"/>
        <w:ind w:right="1170"/>
        <w:jc w:val="both"/>
        <w:rPr>
          <w:sz w:val="24"/>
          <w:szCs w:val="24"/>
        </w:rPr>
      </w:pPr>
    </w:p>
    <w:p w:rsidR="000E1709" w:rsidRDefault="00143498">
      <w:pPr>
        <w:autoSpaceDE w:val="0"/>
        <w:autoSpaceDN w:val="0"/>
        <w:adjustRightInd w:val="0"/>
        <w:ind w:left="1080" w:right="1170"/>
        <w:jc w:val="both"/>
        <w:rPr>
          <w:sz w:val="24"/>
          <w:szCs w:val="24"/>
        </w:rPr>
      </w:pPr>
      <w:r>
        <w:rPr>
          <w:sz w:val="24"/>
          <w:szCs w:val="24"/>
        </w:rPr>
        <w:t>TILA Section 1026.35 protects consumers from abusive and predatory lending practices by imposing prohibited acts and practices on certain higher-priced loans. Section 35 loans are described as:</w:t>
      </w:r>
    </w:p>
    <w:p w:rsidR="000E1709" w:rsidRDefault="000E1709">
      <w:pPr>
        <w:autoSpaceDE w:val="0"/>
        <w:autoSpaceDN w:val="0"/>
        <w:adjustRightInd w:val="0"/>
        <w:ind w:left="1080" w:right="1170"/>
        <w:jc w:val="both"/>
        <w:rPr>
          <w:sz w:val="24"/>
          <w:szCs w:val="24"/>
        </w:rPr>
      </w:pPr>
    </w:p>
    <w:p w:rsidR="000E1709" w:rsidRDefault="00143498">
      <w:pPr>
        <w:autoSpaceDE w:val="0"/>
        <w:autoSpaceDN w:val="0"/>
        <w:adjustRightInd w:val="0"/>
        <w:ind w:left="1080" w:right="1170"/>
        <w:jc w:val="both"/>
        <w:rPr>
          <w:sz w:val="24"/>
          <w:szCs w:val="24"/>
        </w:rPr>
      </w:pPr>
      <w:proofErr w:type="gramStart"/>
      <w:r>
        <w:rPr>
          <w:sz w:val="24"/>
          <w:szCs w:val="24"/>
        </w:rPr>
        <w:t>“</w:t>
      </w:r>
      <w:r w:rsidRPr="00143498">
        <w:rPr>
          <w:sz w:val="24"/>
          <w:szCs w:val="24"/>
        </w:rPr>
        <w:t>§ 1026.35 (a) Definitions.</w:t>
      </w:r>
      <w:proofErr w:type="gramEnd"/>
      <w:r w:rsidRPr="00143498">
        <w:rPr>
          <w:sz w:val="24"/>
          <w:szCs w:val="24"/>
        </w:rPr>
        <w:t> For purposes of this section: (1)</w:t>
      </w:r>
      <w:r w:rsidR="00FB7683">
        <w:rPr>
          <w:sz w:val="24"/>
          <w:szCs w:val="24"/>
        </w:rPr>
        <w:t xml:space="preserve"> </w:t>
      </w:r>
      <w:r w:rsidRPr="00143498">
        <w:rPr>
          <w:sz w:val="24"/>
          <w:szCs w:val="24"/>
        </w:rPr>
        <w:t>Higher-priced mortgage loan means a closed-end consumer credit transaction secured by the consumer's principal dwelling with an annual percentage rate that exceeds the average prime offer rate for a comparable transaction as of the date the interest rate is set:</w:t>
      </w:r>
    </w:p>
    <w:p w:rsidR="000E1709" w:rsidRDefault="00143498">
      <w:pPr>
        <w:autoSpaceDE w:val="0"/>
        <w:autoSpaceDN w:val="0"/>
        <w:adjustRightInd w:val="0"/>
        <w:ind w:left="1080" w:right="1170"/>
        <w:jc w:val="both"/>
        <w:rPr>
          <w:sz w:val="24"/>
          <w:szCs w:val="24"/>
        </w:rPr>
      </w:pPr>
      <w:r>
        <w:rPr>
          <w:sz w:val="24"/>
          <w:szCs w:val="24"/>
        </w:rPr>
        <w:br/>
      </w:r>
      <w:r w:rsidRPr="00143498">
        <w:rPr>
          <w:sz w:val="24"/>
          <w:szCs w:val="24"/>
        </w:rPr>
        <w:t>(i) By 1.5 or more percentage points for loans secured by a first lien with a principal obligation at consummation that does not exceed the limit in effect as of the date the transaction's interest rate is set for the maximum principal obligation eligible for purchase by Freddie Mac;</w:t>
      </w:r>
    </w:p>
    <w:p w:rsidR="000E1709" w:rsidRDefault="00143498">
      <w:pPr>
        <w:autoSpaceDE w:val="0"/>
        <w:autoSpaceDN w:val="0"/>
        <w:adjustRightInd w:val="0"/>
        <w:ind w:left="1080" w:right="1170"/>
        <w:jc w:val="both"/>
        <w:rPr>
          <w:sz w:val="24"/>
          <w:szCs w:val="24"/>
        </w:rPr>
      </w:pPr>
      <w:r>
        <w:rPr>
          <w:sz w:val="24"/>
          <w:szCs w:val="24"/>
        </w:rPr>
        <w:br/>
      </w:r>
      <w:r w:rsidRPr="00143498">
        <w:rPr>
          <w:sz w:val="24"/>
          <w:szCs w:val="24"/>
        </w:rPr>
        <w:t>(ii) By 2.5 or more percentage points for loans secured by a first lien with a principal obligation at consummation that exceeds the limit in effect as of the date the transaction's interest rate is set for the maximum principal obligation eligible for purchase by Freddie Mac; or</w:t>
      </w:r>
    </w:p>
    <w:p w:rsidR="000E1709" w:rsidRDefault="00143498">
      <w:pPr>
        <w:autoSpaceDE w:val="0"/>
        <w:autoSpaceDN w:val="0"/>
        <w:adjustRightInd w:val="0"/>
        <w:ind w:left="1080" w:right="1170"/>
        <w:jc w:val="both"/>
        <w:rPr>
          <w:rFonts w:asciiTheme="minorHAnsi" w:hAnsiTheme="minorHAnsi" w:cstheme="minorHAnsi"/>
          <w:color w:val="000000"/>
        </w:rPr>
      </w:pPr>
      <w:r>
        <w:rPr>
          <w:sz w:val="24"/>
          <w:szCs w:val="24"/>
        </w:rPr>
        <w:br/>
      </w:r>
      <w:r w:rsidRPr="00143498">
        <w:rPr>
          <w:sz w:val="24"/>
          <w:szCs w:val="24"/>
        </w:rPr>
        <w:t>(iii) By 3.5 or more percentage points for loans secured by a subordinate lien</w:t>
      </w:r>
      <w:r w:rsidR="00333F58">
        <w:rPr>
          <w:sz w:val="24"/>
          <w:szCs w:val="24"/>
        </w:rPr>
        <w:t>”</w:t>
      </w:r>
      <w:r w:rsidR="00333F58">
        <w:rPr>
          <w:rStyle w:val="FootnoteReference"/>
          <w:sz w:val="24"/>
          <w:szCs w:val="24"/>
        </w:rPr>
        <w:footnoteReference w:id="26"/>
      </w:r>
      <w:r>
        <w:rPr>
          <w:sz w:val="24"/>
          <w:szCs w:val="24"/>
        </w:rPr>
        <w:br/>
      </w:r>
      <w:r>
        <w:rPr>
          <w:sz w:val="24"/>
          <w:szCs w:val="24"/>
        </w:rPr>
        <w:br/>
        <w:t xml:space="preserve">The APR for higher-priced loans is compared to the Average Prime Offer Rate (APOR). Information on the APOR is available at </w:t>
      </w:r>
      <w:hyperlink r:id="rId34" w:history="1">
        <w:r w:rsidR="006C5A4D" w:rsidRPr="00E42914">
          <w:rPr>
            <w:rStyle w:val="Hyperlink"/>
            <w:rFonts w:asciiTheme="minorHAnsi" w:hAnsiTheme="minorHAnsi" w:cstheme="minorHAnsi"/>
          </w:rPr>
          <w:t>www.ffiec.gov/ratespread/newcalc.aspx</w:t>
        </w:r>
      </w:hyperlink>
      <w:r w:rsidR="006C5A4D">
        <w:rPr>
          <w:rFonts w:asciiTheme="minorHAnsi" w:hAnsiTheme="minorHAnsi" w:cstheme="minorHAnsi"/>
          <w:color w:val="000000"/>
        </w:rPr>
        <w:t>.</w:t>
      </w:r>
    </w:p>
    <w:p w:rsidR="000E1709" w:rsidRDefault="000E1709">
      <w:pPr>
        <w:autoSpaceDE w:val="0"/>
        <w:autoSpaceDN w:val="0"/>
        <w:adjustRightInd w:val="0"/>
        <w:ind w:left="1080" w:right="1170"/>
        <w:jc w:val="both"/>
        <w:rPr>
          <w:rFonts w:asciiTheme="minorHAnsi" w:hAnsiTheme="minorHAnsi" w:cstheme="minorHAnsi"/>
          <w:color w:val="000000"/>
        </w:rPr>
      </w:pPr>
    </w:p>
    <w:p w:rsidR="000E1709" w:rsidRDefault="000E1709">
      <w:pPr>
        <w:autoSpaceDE w:val="0"/>
        <w:autoSpaceDN w:val="0"/>
        <w:adjustRightInd w:val="0"/>
        <w:ind w:left="1080" w:right="1170"/>
        <w:jc w:val="both"/>
        <w:rPr>
          <w:rFonts w:asciiTheme="minorHAnsi" w:hAnsiTheme="minorHAnsi" w:cstheme="minorHAnsi"/>
          <w:color w:val="000000"/>
        </w:rPr>
      </w:pPr>
    </w:p>
    <w:p w:rsidR="000E1709" w:rsidRDefault="00944995">
      <w:pPr>
        <w:autoSpaceDE w:val="0"/>
        <w:autoSpaceDN w:val="0"/>
        <w:adjustRightInd w:val="0"/>
        <w:ind w:left="1080" w:right="1170"/>
        <w:jc w:val="both"/>
        <w:rPr>
          <w:rFonts w:asciiTheme="minorHAnsi" w:hAnsiTheme="minorHAnsi" w:cstheme="minorHAnsi"/>
          <w:color w:val="000000"/>
          <w:sz w:val="24"/>
          <w:szCs w:val="24"/>
        </w:rPr>
      </w:pPr>
      <w:r w:rsidRPr="00944995">
        <w:rPr>
          <w:rFonts w:asciiTheme="minorHAnsi" w:hAnsiTheme="minorHAnsi" w:cstheme="minorHAnsi"/>
          <w:color w:val="000000"/>
          <w:sz w:val="24"/>
          <w:szCs w:val="24"/>
        </w:rPr>
        <w:t>Section 35 Higher-priced loans requirements with effective date: June 1, 2013:</w:t>
      </w:r>
      <w:r w:rsidRPr="00944995">
        <w:rPr>
          <w:rStyle w:val="FootnoteReference"/>
          <w:rFonts w:asciiTheme="minorHAnsi" w:hAnsiTheme="minorHAnsi" w:cstheme="minorHAnsi"/>
          <w:color w:val="000000"/>
          <w:sz w:val="24"/>
          <w:szCs w:val="24"/>
        </w:rPr>
        <w:footnoteReference w:id="27"/>
      </w:r>
    </w:p>
    <w:p w:rsidR="000E1709" w:rsidRDefault="000E1709">
      <w:pPr>
        <w:autoSpaceDE w:val="0"/>
        <w:autoSpaceDN w:val="0"/>
        <w:adjustRightInd w:val="0"/>
        <w:ind w:left="1080" w:right="1170"/>
        <w:jc w:val="both"/>
        <w:rPr>
          <w:rFonts w:asciiTheme="minorHAnsi" w:hAnsiTheme="minorHAnsi" w:cstheme="minorHAnsi"/>
          <w:color w:val="000000"/>
          <w:sz w:val="24"/>
          <w:szCs w:val="24"/>
        </w:rPr>
      </w:pPr>
    </w:p>
    <w:p w:rsidR="000E1709" w:rsidRDefault="00944995" w:rsidP="005212C7">
      <w:pPr>
        <w:pStyle w:val="ListParagraph"/>
        <w:numPr>
          <w:ilvl w:val="0"/>
          <w:numId w:val="33"/>
        </w:numPr>
        <w:autoSpaceDE w:val="0"/>
        <w:autoSpaceDN w:val="0"/>
        <w:adjustRightInd w:val="0"/>
        <w:ind w:left="1800" w:right="1170"/>
        <w:jc w:val="both"/>
        <w:rPr>
          <w:rFonts w:asciiTheme="minorHAnsi" w:hAnsiTheme="minorHAnsi" w:cstheme="minorHAnsi"/>
          <w:color w:val="000000"/>
          <w:sz w:val="24"/>
          <w:szCs w:val="24"/>
        </w:rPr>
      </w:pPr>
      <w:r w:rsidRPr="00944995">
        <w:rPr>
          <w:rFonts w:asciiTheme="minorHAnsi" w:hAnsiTheme="minorHAnsi" w:cstheme="minorHAnsi"/>
          <w:color w:val="000000"/>
          <w:sz w:val="24"/>
          <w:szCs w:val="24"/>
        </w:rPr>
        <w:t>The creditor must verify the borrower’s ability to re-pay the loan</w:t>
      </w:r>
    </w:p>
    <w:p w:rsidR="000E1709" w:rsidRDefault="00944995" w:rsidP="005212C7">
      <w:pPr>
        <w:pStyle w:val="ListParagraph"/>
        <w:numPr>
          <w:ilvl w:val="0"/>
          <w:numId w:val="33"/>
        </w:numPr>
        <w:autoSpaceDE w:val="0"/>
        <w:autoSpaceDN w:val="0"/>
        <w:adjustRightInd w:val="0"/>
        <w:ind w:left="1800" w:right="1170"/>
        <w:jc w:val="both"/>
        <w:rPr>
          <w:rFonts w:asciiTheme="minorHAnsi" w:hAnsiTheme="minorHAnsi" w:cstheme="minorHAnsi"/>
          <w:color w:val="000000"/>
          <w:sz w:val="24"/>
          <w:szCs w:val="24"/>
        </w:rPr>
      </w:pPr>
      <w:r w:rsidRPr="00944995">
        <w:rPr>
          <w:rFonts w:asciiTheme="minorHAnsi" w:hAnsiTheme="minorHAnsi" w:cstheme="minorHAnsi"/>
          <w:color w:val="000000"/>
          <w:sz w:val="24"/>
          <w:szCs w:val="24"/>
        </w:rPr>
        <w:t>Prepayment penalties are generally limited to the first 2 years</w:t>
      </w:r>
    </w:p>
    <w:p w:rsidR="000E1709" w:rsidRDefault="00944995" w:rsidP="005212C7">
      <w:pPr>
        <w:pStyle w:val="ListParagraph"/>
        <w:numPr>
          <w:ilvl w:val="0"/>
          <w:numId w:val="33"/>
        </w:numPr>
        <w:ind w:left="1800"/>
        <w:rPr>
          <w:rFonts w:asciiTheme="minorHAnsi" w:hAnsiTheme="minorHAnsi" w:cstheme="minorHAnsi"/>
          <w:color w:val="000000"/>
          <w:sz w:val="24"/>
          <w:szCs w:val="24"/>
        </w:rPr>
      </w:pPr>
      <w:r w:rsidRPr="00944995">
        <w:rPr>
          <w:rFonts w:asciiTheme="minorHAnsi" w:hAnsiTheme="minorHAnsi" w:cstheme="minorHAnsi"/>
          <w:color w:val="000000"/>
          <w:sz w:val="24"/>
          <w:szCs w:val="24"/>
        </w:rPr>
        <w:t>The creditor must establish an escrow account for taxes and insurance for at least five (5) years</w:t>
      </w:r>
    </w:p>
    <w:p w:rsidR="000E1709" w:rsidRDefault="00944995" w:rsidP="005212C7">
      <w:pPr>
        <w:pStyle w:val="ListParagraph"/>
        <w:numPr>
          <w:ilvl w:val="0"/>
          <w:numId w:val="33"/>
        </w:numPr>
        <w:ind w:left="1800"/>
        <w:rPr>
          <w:rFonts w:asciiTheme="minorHAnsi" w:hAnsiTheme="minorHAnsi" w:cstheme="minorHAnsi"/>
          <w:color w:val="000000"/>
          <w:sz w:val="24"/>
          <w:szCs w:val="24"/>
        </w:rPr>
      </w:pPr>
      <w:r w:rsidRPr="00944995">
        <w:rPr>
          <w:rFonts w:asciiTheme="minorHAnsi" w:hAnsiTheme="minorHAnsi" w:cstheme="minorHAnsi"/>
          <w:color w:val="000000"/>
          <w:sz w:val="24"/>
          <w:szCs w:val="24"/>
        </w:rPr>
        <w:t>A closed-end loan cannot be structured as an open-ended loan to evade the requirements</w:t>
      </w:r>
    </w:p>
    <w:p w:rsidR="000E1709" w:rsidRDefault="000E1709">
      <w:pPr>
        <w:autoSpaceDE w:val="0"/>
        <w:autoSpaceDN w:val="0"/>
        <w:adjustRightInd w:val="0"/>
        <w:ind w:left="1440" w:right="1170"/>
        <w:jc w:val="both"/>
        <w:rPr>
          <w:rFonts w:asciiTheme="minorHAnsi" w:hAnsiTheme="minorHAnsi" w:cstheme="minorHAnsi"/>
          <w:color w:val="000000"/>
          <w:sz w:val="24"/>
          <w:szCs w:val="24"/>
        </w:rPr>
      </w:pPr>
    </w:p>
    <w:p w:rsidR="000E1709" w:rsidRDefault="00944995">
      <w:pPr>
        <w:autoSpaceDE w:val="0"/>
        <w:autoSpaceDN w:val="0"/>
        <w:adjustRightInd w:val="0"/>
        <w:ind w:left="720" w:right="1170"/>
        <w:jc w:val="both"/>
        <w:rPr>
          <w:rFonts w:asciiTheme="minorHAnsi" w:hAnsiTheme="minorHAnsi" w:cstheme="minorHAnsi"/>
          <w:color w:val="000000"/>
          <w:sz w:val="24"/>
          <w:szCs w:val="24"/>
        </w:rPr>
      </w:pPr>
      <w:r w:rsidRPr="00944995">
        <w:rPr>
          <w:rFonts w:asciiTheme="minorHAnsi" w:hAnsiTheme="minorHAnsi" w:cstheme="minorHAnsi"/>
          <w:color w:val="000000"/>
          <w:sz w:val="24"/>
          <w:szCs w:val="24"/>
        </w:rPr>
        <w:t>Section 35 Higher-priced loans requirements with effective date</w:t>
      </w:r>
      <w:r w:rsidRPr="00944995">
        <w:rPr>
          <w:rFonts w:ascii="Arial" w:hAnsi="Arial" w:cs="Arial"/>
          <w:color w:val="000000"/>
          <w:sz w:val="24"/>
          <w:szCs w:val="24"/>
          <w:shd w:val="clear" w:color="auto" w:fill="FFFFFF"/>
        </w:rPr>
        <w:t xml:space="preserve"> </w:t>
      </w:r>
      <w:r w:rsidRPr="00944995">
        <w:rPr>
          <w:rFonts w:asciiTheme="minorHAnsi" w:hAnsiTheme="minorHAnsi" w:cstheme="minorHAnsi"/>
          <w:color w:val="000000"/>
          <w:sz w:val="24"/>
          <w:szCs w:val="24"/>
        </w:rPr>
        <w:t>January 18, 2014: </w:t>
      </w:r>
    </w:p>
    <w:p w:rsidR="000E1709" w:rsidRDefault="00944995" w:rsidP="005212C7">
      <w:pPr>
        <w:pStyle w:val="ListParagraph"/>
        <w:numPr>
          <w:ilvl w:val="0"/>
          <w:numId w:val="33"/>
        </w:numPr>
        <w:autoSpaceDE w:val="0"/>
        <w:autoSpaceDN w:val="0"/>
        <w:adjustRightInd w:val="0"/>
        <w:ind w:left="1800" w:right="1170"/>
        <w:jc w:val="both"/>
        <w:rPr>
          <w:rFonts w:asciiTheme="minorHAnsi" w:hAnsiTheme="minorHAnsi" w:cstheme="minorHAnsi"/>
          <w:color w:val="000000"/>
          <w:sz w:val="24"/>
          <w:szCs w:val="24"/>
        </w:rPr>
      </w:pPr>
      <w:r w:rsidRPr="00944995">
        <w:rPr>
          <w:rFonts w:asciiTheme="minorHAnsi" w:hAnsiTheme="minorHAnsi" w:cstheme="minorHAnsi"/>
          <w:color w:val="000000"/>
          <w:sz w:val="24"/>
          <w:szCs w:val="24"/>
        </w:rPr>
        <w:lastRenderedPageBreak/>
        <w:t xml:space="preserve">Appraisals are required </w:t>
      </w:r>
      <w:r w:rsidR="00B870C2">
        <w:rPr>
          <w:rFonts w:asciiTheme="minorHAnsi" w:hAnsiTheme="minorHAnsi" w:cstheme="minorHAnsi"/>
          <w:color w:val="000000"/>
          <w:sz w:val="24"/>
          <w:szCs w:val="24"/>
        </w:rPr>
        <w:t>for all higher-priced mortgages</w:t>
      </w:r>
    </w:p>
    <w:p w:rsidR="000E1709" w:rsidRDefault="00B870C2" w:rsidP="005212C7">
      <w:pPr>
        <w:pStyle w:val="ListParagraph"/>
        <w:numPr>
          <w:ilvl w:val="0"/>
          <w:numId w:val="33"/>
        </w:numPr>
        <w:autoSpaceDE w:val="0"/>
        <w:autoSpaceDN w:val="0"/>
        <w:adjustRightInd w:val="0"/>
        <w:ind w:left="1800" w:right="1170"/>
        <w:jc w:val="both"/>
        <w:rPr>
          <w:rFonts w:asciiTheme="minorHAnsi" w:hAnsiTheme="minorHAnsi" w:cstheme="minorHAnsi"/>
          <w:color w:val="000000"/>
          <w:sz w:val="24"/>
          <w:szCs w:val="24"/>
        </w:rPr>
      </w:pPr>
      <w:r w:rsidRPr="00B870C2">
        <w:rPr>
          <w:rFonts w:asciiTheme="minorHAnsi" w:hAnsiTheme="minorHAnsi" w:cstheme="minorHAnsi"/>
          <w:color w:val="000000"/>
          <w:sz w:val="24"/>
          <w:szCs w:val="24"/>
        </w:rPr>
        <w:t>The appraisal must be performed by a certified or licensed appraiser who conducts a physical visit of the interior of the property that will secure the transaction</w:t>
      </w:r>
    </w:p>
    <w:p w:rsidR="000E1709" w:rsidRDefault="000E1709">
      <w:pPr>
        <w:autoSpaceDE w:val="0"/>
        <w:autoSpaceDN w:val="0"/>
        <w:adjustRightInd w:val="0"/>
        <w:ind w:left="1080" w:right="1170"/>
        <w:jc w:val="both"/>
        <w:rPr>
          <w:rFonts w:asciiTheme="minorHAnsi" w:hAnsiTheme="minorHAnsi" w:cstheme="minorHAnsi"/>
          <w:color w:val="000000"/>
        </w:rPr>
      </w:pPr>
    </w:p>
    <w:p w:rsidR="000E1709" w:rsidRDefault="006C5A4D">
      <w:pPr>
        <w:autoSpaceDE w:val="0"/>
        <w:autoSpaceDN w:val="0"/>
        <w:adjustRightInd w:val="0"/>
        <w:ind w:left="720" w:right="1170"/>
        <w:jc w:val="both"/>
        <w:rPr>
          <w:rFonts w:asciiTheme="minorHAnsi" w:hAnsiTheme="minorHAnsi" w:cstheme="minorHAnsi"/>
          <w:color w:val="000000"/>
        </w:rPr>
      </w:pPr>
      <w:r w:rsidRPr="006C5A4D">
        <w:rPr>
          <w:rFonts w:asciiTheme="minorHAnsi" w:hAnsiTheme="minorHAnsi" w:cstheme="minorHAnsi"/>
          <w:color w:val="000000"/>
        </w:rPr>
        <w:t>The following transactions are exempt from the appraisal and escrow requirements:</w:t>
      </w:r>
    </w:p>
    <w:p w:rsidR="000E1709" w:rsidRDefault="000E1709">
      <w:pPr>
        <w:autoSpaceDE w:val="0"/>
        <w:autoSpaceDN w:val="0"/>
        <w:adjustRightInd w:val="0"/>
        <w:ind w:left="1080" w:right="1170"/>
        <w:jc w:val="both"/>
        <w:rPr>
          <w:rFonts w:asciiTheme="minorHAnsi" w:hAnsiTheme="minorHAnsi" w:cstheme="minorHAnsi"/>
          <w:color w:val="000000"/>
        </w:rPr>
      </w:pPr>
    </w:p>
    <w:p w:rsidR="000E1709" w:rsidRDefault="00944995" w:rsidP="005212C7">
      <w:pPr>
        <w:pStyle w:val="ListParagraph"/>
        <w:numPr>
          <w:ilvl w:val="0"/>
          <w:numId w:val="34"/>
        </w:numPr>
        <w:autoSpaceDE w:val="0"/>
        <w:autoSpaceDN w:val="0"/>
        <w:adjustRightInd w:val="0"/>
        <w:ind w:left="1800" w:right="1170"/>
        <w:jc w:val="both"/>
        <w:rPr>
          <w:rFonts w:asciiTheme="minorHAnsi" w:hAnsiTheme="minorHAnsi" w:cstheme="minorHAnsi"/>
          <w:color w:val="000000"/>
        </w:rPr>
      </w:pPr>
      <w:r w:rsidRPr="00944995">
        <w:rPr>
          <w:rFonts w:asciiTheme="minorHAnsi" w:hAnsiTheme="minorHAnsi" w:cstheme="minorHAnsi"/>
          <w:color w:val="000000"/>
        </w:rPr>
        <w:t>A reverse mortgage transaction</w:t>
      </w:r>
    </w:p>
    <w:p w:rsidR="000E1709" w:rsidRDefault="00944995" w:rsidP="005212C7">
      <w:pPr>
        <w:pStyle w:val="ListParagraph"/>
        <w:numPr>
          <w:ilvl w:val="0"/>
          <w:numId w:val="34"/>
        </w:numPr>
        <w:autoSpaceDE w:val="0"/>
        <w:autoSpaceDN w:val="0"/>
        <w:adjustRightInd w:val="0"/>
        <w:ind w:left="1800" w:right="1170"/>
        <w:jc w:val="both"/>
        <w:rPr>
          <w:rFonts w:asciiTheme="minorHAnsi" w:hAnsiTheme="minorHAnsi" w:cstheme="minorHAnsi"/>
          <w:color w:val="000000"/>
        </w:rPr>
      </w:pPr>
      <w:r w:rsidRPr="00944995">
        <w:rPr>
          <w:rFonts w:asciiTheme="minorHAnsi" w:hAnsiTheme="minorHAnsi" w:cstheme="minorHAnsi"/>
          <w:color w:val="000000"/>
        </w:rPr>
        <w:t>A transaction to finance the initial construction of a dwelling</w:t>
      </w:r>
    </w:p>
    <w:p w:rsidR="000E1709" w:rsidRDefault="00944995" w:rsidP="005212C7">
      <w:pPr>
        <w:pStyle w:val="ListParagraph"/>
        <w:numPr>
          <w:ilvl w:val="0"/>
          <w:numId w:val="34"/>
        </w:numPr>
        <w:autoSpaceDE w:val="0"/>
        <w:autoSpaceDN w:val="0"/>
        <w:adjustRightInd w:val="0"/>
        <w:ind w:left="1800" w:right="1170"/>
        <w:jc w:val="both"/>
        <w:rPr>
          <w:rFonts w:asciiTheme="minorHAnsi" w:hAnsiTheme="minorHAnsi" w:cstheme="minorHAnsi"/>
          <w:color w:val="000000"/>
        </w:rPr>
      </w:pPr>
      <w:r w:rsidRPr="00944995">
        <w:rPr>
          <w:rFonts w:asciiTheme="minorHAnsi" w:hAnsiTheme="minorHAnsi" w:cstheme="minorHAnsi"/>
          <w:color w:val="000000"/>
        </w:rPr>
        <w:t>A transaction originated by a Housing Finance Agency, where the Housing Finance Agency is the creditor for the transaction</w:t>
      </w:r>
    </w:p>
    <w:p w:rsidR="000E1709" w:rsidRDefault="00944995" w:rsidP="005212C7">
      <w:pPr>
        <w:pStyle w:val="ListParagraph"/>
        <w:numPr>
          <w:ilvl w:val="0"/>
          <w:numId w:val="34"/>
        </w:numPr>
        <w:autoSpaceDE w:val="0"/>
        <w:autoSpaceDN w:val="0"/>
        <w:adjustRightInd w:val="0"/>
        <w:ind w:left="1800" w:right="1170"/>
        <w:jc w:val="both"/>
        <w:rPr>
          <w:rFonts w:asciiTheme="minorHAnsi" w:hAnsiTheme="minorHAnsi" w:cstheme="minorHAnsi"/>
          <w:color w:val="000000"/>
        </w:rPr>
      </w:pPr>
      <w:r w:rsidRPr="00944995">
        <w:rPr>
          <w:rFonts w:asciiTheme="minorHAnsi" w:hAnsiTheme="minorHAnsi" w:cstheme="minorHAnsi"/>
          <w:color w:val="000000"/>
        </w:rPr>
        <w:t>A transaction originated pursuant to the United States Department of Agriculture’s Rural Development Section 502 Direct Loan Program</w:t>
      </w:r>
      <w:r w:rsidR="00134752">
        <w:rPr>
          <w:rStyle w:val="FootnoteReference"/>
          <w:rFonts w:asciiTheme="minorHAnsi" w:hAnsiTheme="minorHAnsi" w:cstheme="minorHAnsi"/>
          <w:color w:val="000000"/>
        </w:rPr>
        <w:footnoteReference w:id="28"/>
      </w:r>
    </w:p>
    <w:p w:rsidR="006C5A4D" w:rsidRDefault="006C5A4D" w:rsidP="00143498">
      <w:pPr>
        <w:autoSpaceDE w:val="0"/>
        <w:autoSpaceDN w:val="0"/>
        <w:adjustRightInd w:val="0"/>
        <w:ind w:right="1170"/>
        <w:jc w:val="both"/>
        <w:rPr>
          <w:sz w:val="24"/>
          <w:szCs w:val="24"/>
        </w:rPr>
      </w:pPr>
    </w:p>
    <w:p w:rsidR="001B35B6" w:rsidRDefault="001B35B6" w:rsidP="00143498">
      <w:pPr>
        <w:autoSpaceDE w:val="0"/>
        <w:autoSpaceDN w:val="0"/>
        <w:adjustRightInd w:val="0"/>
        <w:ind w:right="1170"/>
        <w:jc w:val="both"/>
        <w:rPr>
          <w:sz w:val="24"/>
          <w:szCs w:val="24"/>
        </w:rPr>
      </w:pPr>
    </w:p>
    <w:p w:rsidR="00681EE1" w:rsidRDefault="00681EE1" w:rsidP="00F63060">
      <w:pPr>
        <w:pStyle w:val="Heading2"/>
      </w:pPr>
      <w:bookmarkStart w:id="169" w:name="_Toc393811653"/>
      <w:r>
        <w:t>Regulations</w:t>
      </w:r>
      <w:bookmarkEnd w:id="169"/>
    </w:p>
    <w:p w:rsidR="00681EE1" w:rsidRDefault="00681EE1" w:rsidP="00681EE1">
      <w:pPr>
        <w:pStyle w:val="ListParagraph"/>
        <w:autoSpaceDE w:val="0"/>
        <w:autoSpaceDN w:val="0"/>
        <w:adjustRightInd w:val="0"/>
        <w:ind w:left="1080" w:right="1170"/>
        <w:jc w:val="both"/>
        <w:rPr>
          <w:rFonts w:ascii="Humnst777 Lt BT" w:hAnsi="Humnst777 Lt BT"/>
          <w:color w:val="365F91" w:themeColor="accent1" w:themeShade="BF"/>
          <w:sz w:val="36"/>
          <w:szCs w:val="36"/>
        </w:rPr>
      </w:pPr>
    </w:p>
    <w:p w:rsidR="00681EE1" w:rsidRDefault="00681EE1" w:rsidP="00681EE1">
      <w:pPr>
        <w:autoSpaceDE w:val="0"/>
        <w:autoSpaceDN w:val="0"/>
        <w:adjustRightInd w:val="0"/>
        <w:ind w:left="1080" w:right="1170"/>
        <w:jc w:val="both"/>
        <w:rPr>
          <w:sz w:val="24"/>
          <w:szCs w:val="24"/>
        </w:rPr>
      </w:pPr>
      <w:r w:rsidRPr="00681EE1">
        <w:rPr>
          <w:sz w:val="24"/>
          <w:szCs w:val="24"/>
        </w:rPr>
        <w:t xml:space="preserve">The law includes four key protections for </w:t>
      </w:r>
      <w:r w:rsidR="001433ED">
        <w:rPr>
          <w:sz w:val="24"/>
          <w:szCs w:val="24"/>
        </w:rPr>
        <w:t>higher-priced mort</w:t>
      </w:r>
      <w:r w:rsidR="00940B5C">
        <w:rPr>
          <w:sz w:val="24"/>
          <w:szCs w:val="24"/>
        </w:rPr>
        <w:t>g</w:t>
      </w:r>
      <w:r w:rsidR="001433ED">
        <w:rPr>
          <w:sz w:val="24"/>
          <w:szCs w:val="24"/>
        </w:rPr>
        <w:t>age</w:t>
      </w:r>
      <w:r w:rsidR="001433ED" w:rsidRPr="00681EE1">
        <w:rPr>
          <w:sz w:val="24"/>
          <w:szCs w:val="24"/>
        </w:rPr>
        <w:t xml:space="preserve"> </w:t>
      </w:r>
      <w:r w:rsidRPr="00681EE1">
        <w:rPr>
          <w:sz w:val="24"/>
          <w:szCs w:val="24"/>
        </w:rPr>
        <w:t>loans</w:t>
      </w:r>
      <w:r w:rsidR="001433ED">
        <w:rPr>
          <w:sz w:val="24"/>
          <w:szCs w:val="24"/>
        </w:rPr>
        <w:t>, which are determined using a threshold based on mortgage loans as opposed to U.S. Treasury securities. The threshold will be dependent upon an ‘average prime offer rate’</w:t>
      </w:r>
      <w:r w:rsidR="00940B5C">
        <w:rPr>
          <w:sz w:val="24"/>
          <w:szCs w:val="24"/>
        </w:rPr>
        <w:t>.</w:t>
      </w:r>
      <w:r w:rsidR="001433ED">
        <w:rPr>
          <w:sz w:val="24"/>
          <w:szCs w:val="24"/>
        </w:rPr>
        <w:t xml:space="preserve"> The four key protections relate to</w:t>
      </w:r>
      <w:r w:rsidRPr="00681EE1">
        <w:rPr>
          <w:sz w:val="24"/>
          <w:szCs w:val="24"/>
        </w:rPr>
        <w:t>:</w:t>
      </w:r>
    </w:p>
    <w:p w:rsidR="00FB7683" w:rsidRPr="00681EE1" w:rsidRDefault="00FB7683" w:rsidP="00681EE1">
      <w:pPr>
        <w:autoSpaceDE w:val="0"/>
        <w:autoSpaceDN w:val="0"/>
        <w:adjustRightInd w:val="0"/>
        <w:ind w:left="1080" w:right="1170"/>
        <w:jc w:val="both"/>
        <w:rPr>
          <w:sz w:val="24"/>
          <w:szCs w:val="24"/>
        </w:rPr>
      </w:pPr>
    </w:p>
    <w:p w:rsidR="00681EE1" w:rsidRDefault="00FB7683" w:rsidP="005212C7">
      <w:pPr>
        <w:pStyle w:val="ListParagraph"/>
        <w:numPr>
          <w:ilvl w:val="1"/>
          <w:numId w:val="15"/>
        </w:numPr>
        <w:autoSpaceDE w:val="0"/>
        <w:autoSpaceDN w:val="0"/>
        <w:adjustRightInd w:val="0"/>
        <w:ind w:right="1170"/>
        <w:jc w:val="both"/>
        <w:rPr>
          <w:sz w:val="24"/>
          <w:szCs w:val="24"/>
        </w:rPr>
      </w:pPr>
      <w:r>
        <w:rPr>
          <w:b/>
          <w:sz w:val="24"/>
          <w:szCs w:val="24"/>
        </w:rPr>
        <w:t>‘</w:t>
      </w:r>
      <w:r w:rsidR="00681EE1" w:rsidRPr="002C40FD">
        <w:rPr>
          <w:b/>
          <w:sz w:val="24"/>
          <w:szCs w:val="24"/>
        </w:rPr>
        <w:t>Loose</w:t>
      </w:r>
      <w:r>
        <w:rPr>
          <w:b/>
          <w:sz w:val="24"/>
          <w:szCs w:val="24"/>
        </w:rPr>
        <w:t>’</w:t>
      </w:r>
      <w:r w:rsidRPr="002C40FD">
        <w:rPr>
          <w:b/>
          <w:sz w:val="24"/>
          <w:szCs w:val="24"/>
        </w:rPr>
        <w:t xml:space="preserve"> </w:t>
      </w:r>
      <w:r w:rsidR="00681EE1" w:rsidRPr="002C40FD">
        <w:rPr>
          <w:b/>
          <w:sz w:val="24"/>
          <w:szCs w:val="24"/>
        </w:rPr>
        <w:t>Lending</w:t>
      </w:r>
      <w:r w:rsidR="00681EE1" w:rsidRPr="00681EE1">
        <w:rPr>
          <w:sz w:val="24"/>
          <w:szCs w:val="24"/>
        </w:rPr>
        <w:t>. Prohibits a lender from engaging in a pattern or practice of lending without considering the borrowers’ ability to repay the loans from sources other than the home’s value.  It also prohibits a lender from making a loan by relying on income or assets that are not verified.</w:t>
      </w:r>
    </w:p>
    <w:p w:rsidR="00681EE1" w:rsidRPr="00681EE1" w:rsidRDefault="00681EE1" w:rsidP="00681EE1">
      <w:pPr>
        <w:pStyle w:val="ListParagraph"/>
        <w:autoSpaceDE w:val="0"/>
        <w:autoSpaceDN w:val="0"/>
        <w:adjustRightInd w:val="0"/>
        <w:ind w:left="1440" w:right="1170"/>
        <w:jc w:val="both"/>
        <w:rPr>
          <w:sz w:val="24"/>
          <w:szCs w:val="24"/>
        </w:rPr>
      </w:pPr>
      <w:r w:rsidRPr="00681EE1">
        <w:rPr>
          <w:sz w:val="24"/>
          <w:szCs w:val="24"/>
        </w:rPr>
        <w:t>This section was significantly expanded in 2008.  HOEPA requires that:</w:t>
      </w:r>
    </w:p>
    <w:p w:rsidR="00681EE1" w:rsidRDefault="00681EE1" w:rsidP="005212C7">
      <w:pPr>
        <w:pStyle w:val="ListParagraph"/>
        <w:numPr>
          <w:ilvl w:val="0"/>
          <w:numId w:val="27"/>
        </w:numPr>
        <w:autoSpaceDE w:val="0"/>
        <w:autoSpaceDN w:val="0"/>
        <w:adjustRightInd w:val="0"/>
        <w:ind w:right="1170"/>
        <w:jc w:val="both"/>
        <w:rPr>
          <w:sz w:val="24"/>
          <w:szCs w:val="24"/>
        </w:rPr>
      </w:pPr>
      <w:r w:rsidRPr="00681EE1">
        <w:rPr>
          <w:sz w:val="24"/>
          <w:szCs w:val="24"/>
        </w:rPr>
        <w:t>Lenders should consider expected income or assets, using the borrower’s documentation sources like their</w:t>
      </w:r>
      <w:r w:rsidR="00D37D5A">
        <w:rPr>
          <w:sz w:val="24"/>
          <w:szCs w:val="24"/>
        </w:rPr>
        <w:t xml:space="preserve"> </w:t>
      </w:r>
      <w:r w:rsidRPr="00681EE1">
        <w:rPr>
          <w:sz w:val="24"/>
          <w:szCs w:val="24"/>
        </w:rPr>
        <w:t xml:space="preserve">W–2, tax returns, payroll receipts, financial institution records and other third-party documents.  Note that there is one case where the loan origination would not be considered a violation of HOEPA.  This is where the </w:t>
      </w:r>
      <w:r w:rsidR="00F355FE">
        <w:rPr>
          <w:sz w:val="24"/>
          <w:szCs w:val="24"/>
        </w:rPr>
        <w:t>level</w:t>
      </w:r>
      <w:r w:rsidR="00F355FE" w:rsidRPr="00681EE1">
        <w:rPr>
          <w:sz w:val="24"/>
          <w:szCs w:val="24"/>
        </w:rPr>
        <w:t xml:space="preserve"> </w:t>
      </w:r>
      <w:r w:rsidRPr="00681EE1">
        <w:rPr>
          <w:sz w:val="24"/>
          <w:szCs w:val="24"/>
        </w:rPr>
        <w:t xml:space="preserve">of income and assets that the creditor relied upon in determining the borrower’s repayment ability are not materially greater than the amounts of the consumer's income or assets. </w:t>
      </w:r>
    </w:p>
    <w:p w:rsidR="00681EE1" w:rsidRDefault="00681EE1" w:rsidP="005212C7">
      <w:pPr>
        <w:pStyle w:val="ListParagraph"/>
        <w:numPr>
          <w:ilvl w:val="0"/>
          <w:numId w:val="27"/>
        </w:numPr>
        <w:autoSpaceDE w:val="0"/>
        <w:autoSpaceDN w:val="0"/>
        <w:adjustRightInd w:val="0"/>
        <w:ind w:right="1170"/>
        <w:jc w:val="both"/>
        <w:rPr>
          <w:sz w:val="24"/>
          <w:szCs w:val="24"/>
        </w:rPr>
      </w:pPr>
      <w:r w:rsidRPr="00681EE1">
        <w:rPr>
          <w:sz w:val="24"/>
          <w:szCs w:val="24"/>
        </w:rPr>
        <w:t>A creditor must verify the applicant’s current obligations.</w:t>
      </w:r>
    </w:p>
    <w:p w:rsidR="00681EE1" w:rsidRDefault="00681EE1" w:rsidP="005212C7">
      <w:pPr>
        <w:pStyle w:val="ListParagraph"/>
        <w:numPr>
          <w:ilvl w:val="0"/>
          <w:numId w:val="27"/>
        </w:numPr>
        <w:autoSpaceDE w:val="0"/>
        <w:autoSpaceDN w:val="0"/>
        <w:adjustRightInd w:val="0"/>
        <w:ind w:right="1170"/>
        <w:jc w:val="both"/>
        <w:rPr>
          <w:sz w:val="24"/>
          <w:szCs w:val="24"/>
        </w:rPr>
      </w:pPr>
      <w:r w:rsidRPr="00681EE1">
        <w:rPr>
          <w:sz w:val="24"/>
          <w:szCs w:val="24"/>
        </w:rPr>
        <w:t>A creditor must consider mortgage-related obligations including expected property taxes and premiums for mortgage-related insurance</w:t>
      </w:r>
      <w:r w:rsidR="00FB7683">
        <w:rPr>
          <w:sz w:val="24"/>
          <w:szCs w:val="24"/>
        </w:rPr>
        <w:t>.</w:t>
      </w:r>
      <w:r w:rsidRPr="00681EE1">
        <w:rPr>
          <w:sz w:val="24"/>
          <w:szCs w:val="24"/>
        </w:rPr>
        <w:t xml:space="preserve"> </w:t>
      </w:r>
    </w:p>
    <w:p w:rsidR="00681EE1" w:rsidRDefault="00681EE1" w:rsidP="005212C7">
      <w:pPr>
        <w:pStyle w:val="ListParagraph"/>
        <w:numPr>
          <w:ilvl w:val="0"/>
          <w:numId w:val="27"/>
        </w:numPr>
        <w:autoSpaceDE w:val="0"/>
        <w:autoSpaceDN w:val="0"/>
        <w:adjustRightInd w:val="0"/>
        <w:ind w:right="1170"/>
        <w:jc w:val="both"/>
        <w:rPr>
          <w:sz w:val="24"/>
          <w:szCs w:val="24"/>
        </w:rPr>
      </w:pPr>
      <w:r w:rsidRPr="00681EE1">
        <w:rPr>
          <w:sz w:val="24"/>
          <w:szCs w:val="24"/>
        </w:rPr>
        <w:t xml:space="preserve">If the term of the mortgage is equal to or </w:t>
      </w:r>
      <w:r w:rsidR="00F355FE">
        <w:rPr>
          <w:sz w:val="24"/>
          <w:szCs w:val="24"/>
        </w:rPr>
        <w:t>greater</w:t>
      </w:r>
      <w:r w:rsidR="00F355FE" w:rsidRPr="00681EE1">
        <w:rPr>
          <w:sz w:val="24"/>
          <w:szCs w:val="24"/>
        </w:rPr>
        <w:t xml:space="preserve"> </w:t>
      </w:r>
      <w:r w:rsidRPr="00681EE1">
        <w:rPr>
          <w:sz w:val="24"/>
          <w:szCs w:val="24"/>
        </w:rPr>
        <w:t xml:space="preserve">than 7 years, a lender can comply by either assessing repayment ability using DTI or using income after </w:t>
      </w:r>
      <w:r w:rsidRPr="00681EE1">
        <w:rPr>
          <w:sz w:val="24"/>
          <w:szCs w:val="24"/>
        </w:rPr>
        <w:lastRenderedPageBreak/>
        <w:t>the borrower paid the debt obligations.  The debt amount used should be the largest payment required within the first 7 years of the mortgage.</w:t>
      </w:r>
    </w:p>
    <w:p w:rsidR="00681EE1" w:rsidRPr="00681EE1" w:rsidRDefault="00681EE1" w:rsidP="00681EE1">
      <w:pPr>
        <w:pStyle w:val="ListParagraph"/>
        <w:rPr>
          <w:sz w:val="24"/>
          <w:szCs w:val="24"/>
        </w:rPr>
      </w:pPr>
    </w:p>
    <w:p w:rsidR="00681EE1" w:rsidRPr="00681EE1" w:rsidRDefault="00681EE1" w:rsidP="00681EE1">
      <w:pPr>
        <w:pStyle w:val="ListParagraph"/>
        <w:autoSpaceDE w:val="0"/>
        <w:autoSpaceDN w:val="0"/>
        <w:adjustRightInd w:val="0"/>
        <w:ind w:left="2160" w:right="1170"/>
        <w:jc w:val="both"/>
        <w:rPr>
          <w:sz w:val="24"/>
          <w:szCs w:val="24"/>
        </w:rPr>
      </w:pPr>
    </w:p>
    <w:p w:rsidR="00681EE1" w:rsidRPr="002C40FD" w:rsidRDefault="00681EE1" w:rsidP="005212C7">
      <w:pPr>
        <w:pStyle w:val="ListParagraph"/>
        <w:numPr>
          <w:ilvl w:val="1"/>
          <w:numId w:val="15"/>
        </w:numPr>
        <w:autoSpaceDE w:val="0"/>
        <w:autoSpaceDN w:val="0"/>
        <w:adjustRightInd w:val="0"/>
        <w:ind w:right="1170"/>
        <w:jc w:val="both"/>
        <w:rPr>
          <w:b/>
          <w:sz w:val="24"/>
          <w:szCs w:val="24"/>
        </w:rPr>
      </w:pPr>
      <w:r w:rsidRPr="002C40FD">
        <w:rPr>
          <w:b/>
          <w:sz w:val="24"/>
          <w:szCs w:val="24"/>
        </w:rPr>
        <w:t>Prepayment Penalties</w:t>
      </w:r>
    </w:p>
    <w:p w:rsidR="00681EE1" w:rsidRPr="00681EE1" w:rsidRDefault="00681EE1" w:rsidP="00681EE1">
      <w:pPr>
        <w:pStyle w:val="ListParagraph"/>
        <w:autoSpaceDE w:val="0"/>
        <w:autoSpaceDN w:val="0"/>
        <w:adjustRightInd w:val="0"/>
        <w:ind w:left="1440" w:right="1170"/>
        <w:jc w:val="both"/>
        <w:rPr>
          <w:sz w:val="24"/>
          <w:szCs w:val="24"/>
        </w:rPr>
      </w:pPr>
      <w:r w:rsidRPr="00681EE1">
        <w:rPr>
          <w:sz w:val="24"/>
          <w:szCs w:val="24"/>
        </w:rPr>
        <w:t xml:space="preserve">Prepayment Penalties are generally prohibited.  HOEPA defines prepayment penalties as the practice of refunds of unearned interest that are calculated by any method less favorable than the actuarial method. </w:t>
      </w:r>
    </w:p>
    <w:p w:rsidR="00681EE1" w:rsidRPr="00681EE1" w:rsidRDefault="00681EE1" w:rsidP="00681EE1">
      <w:pPr>
        <w:pStyle w:val="ListParagraph"/>
        <w:autoSpaceDE w:val="0"/>
        <w:autoSpaceDN w:val="0"/>
        <w:adjustRightInd w:val="0"/>
        <w:ind w:left="1440" w:right="1170"/>
        <w:jc w:val="both"/>
        <w:rPr>
          <w:sz w:val="24"/>
          <w:szCs w:val="24"/>
        </w:rPr>
      </w:pPr>
      <w:r w:rsidRPr="00681EE1">
        <w:rPr>
          <w:sz w:val="24"/>
          <w:szCs w:val="24"/>
        </w:rPr>
        <w:t xml:space="preserve">Exceptions to the general prohibition on prepayment penalties are allowed only with the following terms in a transaction: </w:t>
      </w:r>
    </w:p>
    <w:p w:rsidR="00681EE1" w:rsidRPr="00681EE1" w:rsidRDefault="00681EE1" w:rsidP="005212C7">
      <w:pPr>
        <w:pStyle w:val="ListParagraph"/>
        <w:numPr>
          <w:ilvl w:val="0"/>
          <w:numId w:val="28"/>
        </w:numPr>
        <w:autoSpaceDE w:val="0"/>
        <w:autoSpaceDN w:val="0"/>
        <w:adjustRightInd w:val="0"/>
        <w:ind w:right="1170"/>
        <w:jc w:val="both"/>
        <w:rPr>
          <w:sz w:val="24"/>
          <w:szCs w:val="24"/>
        </w:rPr>
      </w:pPr>
      <w:r w:rsidRPr="00681EE1">
        <w:rPr>
          <w:sz w:val="24"/>
          <w:szCs w:val="24"/>
        </w:rPr>
        <w:t>The penalty will not apply after the two-year period following consummation;</w:t>
      </w:r>
    </w:p>
    <w:p w:rsidR="00681EE1" w:rsidRPr="00681EE1" w:rsidRDefault="00681EE1" w:rsidP="005212C7">
      <w:pPr>
        <w:pStyle w:val="ListParagraph"/>
        <w:numPr>
          <w:ilvl w:val="0"/>
          <w:numId w:val="28"/>
        </w:numPr>
        <w:autoSpaceDE w:val="0"/>
        <w:autoSpaceDN w:val="0"/>
        <w:adjustRightInd w:val="0"/>
        <w:ind w:right="1170"/>
        <w:jc w:val="both"/>
        <w:rPr>
          <w:sz w:val="24"/>
          <w:szCs w:val="24"/>
        </w:rPr>
      </w:pPr>
      <w:r w:rsidRPr="00681EE1">
        <w:rPr>
          <w:sz w:val="24"/>
          <w:szCs w:val="24"/>
        </w:rPr>
        <w:t>The penalty will not apply if the source of the prepayment funds is a refinancing by the creditor or an affiliate of the creditor;</w:t>
      </w:r>
    </w:p>
    <w:p w:rsidR="00681EE1" w:rsidRPr="00681EE1" w:rsidRDefault="00681EE1" w:rsidP="005212C7">
      <w:pPr>
        <w:pStyle w:val="ListParagraph"/>
        <w:numPr>
          <w:ilvl w:val="0"/>
          <w:numId w:val="28"/>
        </w:numPr>
        <w:autoSpaceDE w:val="0"/>
        <w:autoSpaceDN w:val="0"/>
        <w:adjustRightInd w:val="0"/>
        <w:ind w:right="1170"/>
        <w:jc w:val="both"/>
        <w:rPr>
          <w:sz w:val="24"/>
          <w:szCs w:val="24"/>
        </w:rPr>
      </w:pPr>
      <w:r w:rsidRPr="00681EE1">
        <w:rPr>
          <w:sz w:val="24"/>
          <w:szCs w:val="24"/>
        </w:rPr>
        <w:t>The amount of the periodic payment of principal or interest or both may not change during the four-year period following consummation.</w:t>
      </w:r>
    </w:p>
    <w:p w:rsidR="00681EE1" w:rsidRPr="00681EE1" w:rsidRDefault="00681EE1" w:rsidP="00681EE1">
      <w:pPr>
        <w:autoSpaceDE w:val="0"/>
        <w:autoSpaceDN w:val="0"/>
        <w:adjustRightInd w:val="0"/>
        <w:ind w:left="1080" w:right="1170"/>
        <w:jc w:val="both"/>
        <w:rPr>
          <w:sz w:val="24"/>
          <w:szCs w:val="24"/>
        </w:rPr>
      </w:pPr>
    </w:p>
    <w:p w:rsidR="00681EE1" w:rsidRPr="00681EE1" w:rsidRDefault="00681EE1" w:rsidP="005212C7">
      <w:pPr>
        <w:pStyle w:val="ListParagraph"/>
        <w:numPr>
          <w:ilvl w:val="1"/>
          <w:numId w:val="15"/>
        </w:numPr>
        <w:autoSpaceDE w:val="0"/>
        <w:autoSpaceDN w:val="0"/>
        <w:adjustRightInd w:val="0"/>
        <w:ind w:right="1170"/>
        <w:jc w:val="both"/>
        <w:rPr>
          <w:sz w:val="24"/>
          <w:szCs w:val="24"/>
        </w:rPr>
      </w:pPr>
      <w:r w:rsidRPr="002C40FD">
        <w:rPr>
          <w:b/>
          <w:sz w:val="24"/>
          <w:szCs w:val="24"/>
        </w:rPr>
        <w:t>Escrow Creation</w:t>
      </w:r>
      <w:r w:rsidRPr="00681EE1">
        <w:rPr>
          <w:sz w:val="24"/>
          <w:szCs w:val="24"/>
        </w:rPr>
        <w:t xml:space="preserve">. Requires that the lender establish an escrow account for the payment of property taxes and homeowners’ insurance.  The mortgage loan originator may only offer the borrower the opportunity to opt out of the escrow account </w:t>
      </w:r>
      <w:proofErr w:type="gramStart"/>
      <w:r w:rsidRPr="00681EE1">
        <w:rPr>
          <w:sz w:val="24"/>
          <w:szCs w:val="24"/>
        </w:rPr>
        <w:t xml:space="preserve">after </w:t>
      </w:r>
      <w:r w:rsidR="001F158A">
        <w:rPr>
          <w:sz w:val="24"/>
          <w:szCs w:val="24"/>
        </w:rPr>
        <w:t xml:space="preserve"> five</w:t>
      </w:r>
      <w:proofErr w:type="gramEnd"/>
      <w:r w:rsidR="001F158A">
        <w:rPr>
          <w:sz w:val="24"/>
          <w:szCs w:val="24"/>
        </w:rPr>
        <w:t xml:space="preserve"> years</w:t>
      </w:r>
      <w:r w:rsidRPr="00681EE1">
        <w:rPr>
          <w:sz w:val="24"/>
          <w:szCs w:val="24"/>
        </w:rPr>
        <w:t>. Certain Co-ops and Condos are exempted from the escrow requirement.</w:t>
      </w:r>
    </w:p>
    <w:p w:rsidR="00681EE1" w:rsidRPr="00681EE1" w:rsidRDefault="00681EE1" w:rsidP="00681EE1">
      <w:pPr>
        <w:pStyle w:val="ListParagraph"/>
        <w:autoSpaceDE w:val="0"/>
        <w:autoSpaceDN w:val="0"/>
        <w:adjustRightInd w:val="0"/>
        <w:ind w:left="1440" w:right="1170"/>
        <w:jc w:val="both"/>
        <w:rPr>
          <w:sz w:val="24"/>
          <w:szCs w:val="24"/>
        </w:rPr>
      </w:pPr>
    </w:p>
    <w:p w:rsidR="002C40FD" w:rsidRDefault="00681EE1" w:rsidP="005212C7">
      <w:pPr>
        <w:pStyle w:val="ListParagraph"/>
        <w:numPr>
          <w:ilvl w:val="1"/>
          <w:numId w:val="15"/>
        </w:numPr>
        <w:autoSpaceDE w:val="0"/>
        <w:autoSpaceDN w:val="0"/>
        <w:adjustRightInd w:val="0"/>
        <w:ind w:right="1170"/>
        <w:jc w:val="both"/>
        <w:rPr>
          <w:sz w:val="24"/>
          <w:szCs w:val="24"/>
        </w:rPr>
        <w:sectPr w:rsidR="002C40FD" w:rsidSect="00491C63">
          <w:headerReference w:type="default" r:id="rId35"/>
          <w:pgSz w:w="12240" w:h="15840"/>
          <w:pgMar w:top="1440" w:right="720" w:bottom="1440" w:left="720" w:header="720" w:footer="720" w:gutter="0"/>
          <w:cols w:space="720"/>
          <w:docGrid w:linePitch="360"/>
        </w:sectPr>
      </w:pPr>
      <w:r w:rsidRPr="002C40FD">
        <w:rPr>
          <w:b/>
          <w:sz w:val="24"/>
          <w:szCs w:val="24"/>
        </w:rPr>
        <w:t>Regulation Evasion</w:t>
      </w:r>
      <w:r w:rsidRPr="00681EE1">
        <w:rPr>
          <w:sz w:val="24"/>
          <w:szCs w:val="24"/>
        </w:rPr>
        <w:t>. The law prohibits mortgage loan originators from structuring a mortgage just to evade the Higher-Priced Mortgage regulations.</w:t>
      </w:r>
    </w:p>
    <w:p w:rsidR="00D82793" w:rsidRPr="00AF7B92" w:rsidRDefault="00D82793" w:rsidP="00AF7B92">
      <w:pPr>
        <w:pStyle w:val="Heading1"/>
      </w:pPr>
      <w:bookmarkStart w:id="170" w:name="_Toc393811654"/>
      <w:r w:rsidRPr="00AF7B92">
        <w:lastRenderedPageBreak/>
        <w:t>High-Cost Mortgages (in HOEPA Section 32)</w:t>
      </w:r>
      <w:bookmarkEnd w:id="170"/>
    </w:p>
    <w:p w:rsidR="00D82793" w:rsidRDefault="00D82793" w:rsidP="00D82793">
      <w:pPr>
        <w:pStyle w:val="ListParagraph"/>
        <w:autoSpaceDE w:val="0"/>
        <w:autoSpaceDN w:val="0"/>
        <w:adjustRightInd w:val="0"/>
        <w:ind w:left="1080" w:right="1170"/>
        <w:jc w:val="both"/>
        <w:rPr>
          <w:sz w:val="24"/>
          <w:szCs w:val="24"/>
        </w:rPr>
      </w:pPr>
    </w:p>
    <w:p w:rsidR="00D82793" w:rsidRDefault="00D82793" w:rsidP="00D82793">
      <w:pPr>
        <w:pStyle w:val="ListParagraph"/>
        <w:autoSpaceDE w:val="0"/>
        <w:autoSpaceDN w:val="0"/>
        <w:adjustRightInd w:val="0"/>
        <w:ind w:left="1080" w:right="1170"/>
        <w:jc w:val="both"/>
        <w:rPr>
          <w:sz w:val="24"/>
          <w:szCs w:val="24"/>
        </w:rPr>
      </w:pPr>
      <w:r w:rsidRPr="00D82793">
        <w:rPr>
          <w:sz w:val="24"/>
          <w:szCs w:val="24"/>
        </w:rPr>
        <w:t xml:space="preserve">Section 32 of TILA governs a specific class of higher-priced mortgages called </w:t>
      </w:r>
      <w:r w:rsidR="00712F61">
        <w:rPr>
          <w:sz w:val="24"/>
          <w:szCs w:val="24"/>
        </w:rPr>
        <w:t>‘</w:t>
      </w:r>
      <w:r w:rsidRPr="00D82793">
        <w:rPr>
          <w:sz w:val="24"/>
          <w:szCs w:val="24"/>
        </w:rPr>
        <w:t>high-cost</w:t>
      </w:r>
      <w:r w:rsidR="00712F61">
        <w:rPr>
          <w:sz w:val="24"/>
          <w:szCs w:val="24"/>
        </w:rPr>
        <w:t>’</w:t>
      </w:r>
      <w:r w:rsidR="00712F61" w:rsidRPr="00D82793">
        <w:rPr>
          <w:sz w:val="24"/>
          <w:szCs w:val="24"/>
        </w:rPr>
        <w:t xml:space="preserve"> </w:t>
      </w:r>
      <w:r w:rsidRPr="00D82793">
        <w:rPr>
          <w:sz w:val="24"/>
          <w:szCs w:val="24"/>
        </w:rPr>
        <w:t xml:space="preserve">mortgages.  This definition was created in 1994 prior to the mortgage crisis in 2006-2008.  Many criticize </w:t>
      </w:r>
      <w:r w:rsidR="00F355FE">
        <w:rPr>
          <w:sz w:val="24"/>
          <w:szCs w:val="24"/>
        </w:rPr>
        <w:t xml:space="preserve">the fact </w:t>
      </w:r>
      <w:r w:rsidRPr="00D82793">
        <w:rPr>
          <w:sz w:val="24"/>
          <w:szCs w:val="24"/>
        </w:rPr>
        <w:t xml:space="preserve">that this definition is too narrow.  Loans that fall under this category are often called Section 32 Mortgages because this law is listed in </w:t>
      </w:r>
      <w:r w:rsidR="00F355FE">
        <w:rPr>
          <w:sz w:val="24"/>
          <w:szCs w:val="24"/>
        </w:rPr>
        <w:t>Section</w:t>
      </w:r>
      <w:r w:rsidR="00F355FE" w:rsidRPr="00D82793">
        <w:rPr>
          <w:sz w:val="24"/>
          <w:szCs w:val="24"/>
        </w:rPr>
        <w:t xml:space="preserve"> </w:t>
      </w:r>
      <w:r w:rsidRPr="00D82793">
        <w:rPr>
          <w:sz w:val="24"/>
          <w:szCs w:val="24"/>
        </w:rPr>
        <w:t xml:space="preserve">32 of TILA.  </w:t>
      </w:r>
    </w:p>
    <w:p w:rsidR="00D82793" w:rsidRDefault="00D82793" w:rsidP="00D82793">
      <w:pPr>
        <w:pStyle w:val="ListParagraph"/>
        <w:autoSpaceDE w:val="0"/>
        <w:autoSpaceDN w:val="0"/>
        <w:adjustRightInd w:val="0"/>
        <w:ind w:left="1080" w:right="1170"/>
        <w:jc w:val="both"/>
        <w:rPr>
          <w:sz w:val="24"/>
          <w:szCs w:val="24"/>
        </w:rPr>
      </w:pPr>
    </w:p>
    <w:p w:rsidR="00D82793" w:rsidRDefault="00D82793" w:rsidP="005212C7">
      <w:pPr>
        <w:pStyle w:val="Heading2"/>
        <w:numPr>
          <w:ilvl w:val="0"/>
          <w:numId w:val="65"/>
        </w:numPr>
      </w:pPr>
      <w:bookmarkStart w:id="171" w:name="_Toc393811655"/>
      <w:r w:rsidRPr="00D82793">
        <w:t xml:space="preserve">Loan </w:t>
      </w:r>
      <w:r w:rsidR="0085693A">
        <w:t xml:space="preserve">Types </w:t>
      </w:r>
      <w:r w:rsidRPr="00D82793">
        <w:t>Covered</w:t>
      </w:r>
      <w:bookmarkEnd w:id="171"/>
    </w:p>
    <w:p w:rsidR="00D82793" w:rsidRDefault="00D82793" w:rsidP="00D82793">
      <w:pPr>
        <w:pStyle w:val="ListParagraph"/>
        <w:autoSpaceDE w:val="0"/>
        <w:autoSpaceDN w:val="0"/>
        <w:adjustRightInd w:val="0"/>
        <w:ind w:left="1080" w:right="1170"/>
        <w:jc w:val="both"/>
        <w:rPr>
          <w:sz w:val="24"/>
          <w:szCs w:val="24"/>
        </w:rPr>
      </w:pPr>
      <w:r w:rsidRPr="00D82793">
        <w:rPr>
          <w:sz w:val="24"/>
          <w:szCs w:val="24"/>
        </w:rPr>
        <w:t>Section 32 primarily affects refinancing and home equity installment loans (second mortgage</w:t>
      </w:r>
      <w:r w:rsidR="00712F61">
        <w:rPr>
          <w:sz w:val="24"/>
          <w:szCs w:val="24"/>
        </w:rPr>
        <w:t>s</w:t>
      </w:r>
      <w:r w:rsidRPr="00D82793">
        <w:rPr>
          <w:sz w:val="24"/>
          <w:szCs w:val="24"/>
        </w:rPr>
        <w:t>) that also meet the definition of a high-rate or high-fee loan. The rules do not cover loans to buy or to build a home, reverse mortgages or home equity lines of credit.  Studies by the Federal Reserve in 2000-2002 found that the practice of predatory lending in refinance is particularly severe.</w:t>
      </w:r>
    </w:p>
    <w:p w:rsidR="00D82793" w:rsidRDefault="00D82793" w:rsidP="00D82793">
      <w:pPr>
        <w:pStyle w:val="ListParagraph"/>
        <w:autoSpaceDE w:val="0"/>
        <w:autoSpaceDN w:val="0"/>
        <w:adjustRightInd w:val="0"/>
        <w:ind w:left="1080" w:right="1170"/>
        <w:jc w:val="both"/>
        <w:rPr>
          <w:sz w:val="24"/>
          <w:szCs w:val="24"/>
        </w:rPr>
      </w:pPr>
    </w:p>
    <w:p w:rsidR="000E1709" w:rsidRDefault="0018700A" w:rsidP="001B4357">
      <w:pPr>
        <w:pStyle w:val="Heading3"/>
      </w:pPr>
      <w:r>
        <w:t xml:space="preserve">  </w:t>
      </w:r>
      <w:r w:rsidR="00657BA9" w:rsidRPr="00657BA9">
        <w:t>APR Triggers</w:t>
      </w:r>
    </w:p>
    <w:p w:rsidR="00944995" w:rsidRDefault="00944995" w:rsidP="00944995">
      <w:pPr>
        <w:pStyle w:val="ListParagraph"/>
      </w:pPr>
    </w:p>
    <w:p w:rsidR="00B37857" w:rsidRDefault="00B37857" w:rsidP="005212C7">
      <w:pPr>
        <w:pStyle w:val="ListParagraph"/>
        <w:numPr>
          <w:ilvl w:val="2"/>
          <w:numId w:val="25"/>
        </w:numPr>
        <w:autoSpaceDE w:val="0"/>
        <w:autoSpaceDN w:val="0"/>
        <w:adjustRightInd w:val="0"/>
        <w:ind w:left="1440" w:right="1170"/>
        <w:jc w:val="both"/>
      </w:pPr>
      <w:r>
        <w:t xml:space="preserve">Effective January 10, 2014 the HOEPA triggers </w:t>
      </w:r>
      <w:r w:rsidR="00907B30">
        <w:t>are:</w:t>
      </w:r>
    </w:p>
    <w:p w:rsidR="00944995" w:rsidRDefault="00944995" w:rsidP="00944995">
      <w:pPr>
        <w:pStyle w:val="ListParagraph"/>
      </w:pPr>
    </w:p>
    <w:p w:rsidR="00B37857" w:rsidRPr="006B7E10" w:rsidRDefault="00B37857" w:rsidP="005212C7">
      <w:pPr>
        <w:pStyle w:val="ListParagraph"/>
        <w:numPr>
          <w:ilvl w:val="2"/>
          <w:numId w:val="25"/>
        </w:numPr>
        <w:autoSpaceDE w:val="0"/>
        <w:autoSpaceDN w:val="0"/>
        <w:adjustRightInd w:val="0"/>
        <w:ind w:left="1440" w:right="1170"/>
        <w:jc w:val="both"/>
      </w:pPr>
      <w:r>
        <w:t xml:space="preserve">For a first lien loan, </w:t>
      </w:r>
      <w:r w:rsidR="00C849CC">
        <w:t>t</w:t>
      </w:r>
      <w:r>
        <w:t xml:space="preserve">he APR exceeds the Average Prime Offer Rate by </w:t>
      </w:r>
      <w:r>
        <w:rPr>
          <w:b/>
        </w:rPr>
        <w:t>6.5%</w:t>
      </w:r>
      <w:r w:rsidR="006B7E10">
        <w:rPr>
          <w:b/>
        </w:rPr>
        <w:t>:</w:t>
      </w:r>
    </w:p>
    <w:p w:rsidR="00944995" w:rsidRDefault="00944995" w:rsidP="00944995">
      <w:pPr>
        <w:pStyle w:val="ListParagraph"/>
      </w:pPr>
    </w:p>
    <w:p w:rsidR="006B7E10" w:rsidRDefault="00C849CC" w:rsidP="005212C7">
      <w:pPr>
        <w:pStyle w:val="ListParagraph"/>
        <w:numPr>
          <w:ilvl w:val="2"/>
          <w:numId w:val="25"/>
        </w:numPr>
        <w:autoSpaceDE w:val="0"/>
        <w:autoSpaceDN w:val="0"/>
        <w:adjustRightInd w:val="0"/>
        <w:ind w:left="1440" w:right="1170"/>
        <w:jc w:val="both"/>
      </w:pPr>
      <w:r>
        <w:t>F</w:t>
      </w:r>
      <w:r w:rsidR="00944995" w:rsidRPr="00944995">
        <w:t>or a first-lien transaction</w:t>
      </w:r>
      <w:r w:rsidR="00712F61">
        <w:t>,</w:t>
      </w:r>
      <w:r w:rsidR="00944995" w:rsidRPr="00944995">
        <w:t xml:space="preserve"> if the dwelling is personal property and the loan amount is less than $50,000</w:t>
      </w:r>
      <w:r>
        <w:t xml:space="preserve"> </w:t>
      </w:r>
      <w:r w:rsidRPr="00C849CC">
        <w:t>the APR exceeds the Average Prime Offer Rate</w:t>
      </w:r>
      <w:r>
        <w:t xml:space="preserve"> by </w:t>
      </w:r>
      <w:r w:rsidR="00944995" w:rsidRPr="00944995">
        <w:rPr>
          <w:b/>
        </w:rPr>
        <w:t>8.5</w:t>
      </w:r>
      <w:r>
        <w:t>%</w:t>
      </w:r>
      <w:r w:rsidR="00944995" w:rsidRPr="00944995">
        <w:t xml:space="preserve"> </w:t>
      </w:r>
      <w:r>
        <w:t>percentage points:</w:t>
      </w:r>
    </w:p>
    <w:p w:rsidR="00944995" w:rsidRDefault="00944995" w:rsidP="00944995">
      <w:pPr>
        <w:pStyle w:val="ListParagraph"/>
      </w:pPr>
    </w:p>
    <w:p w:rsidR="00C849CC" w:rsidRDefault="00C849CC" w:rsidP="005212C7">
      <w:pPr>
        <w:pStyle w:val="ListParagraph"/>
        <w:numPr>
          <w:ilvl w:val="2"/>
          <w:numId w:val="25"/>
        </w:numPr>
        <w:autoSpaceDE w:val="0"/>
        <w:autoSpaceDN w:val="0"/>
        <w:adjustRightInd w:val="0"/>
        <w:ind w:left="1440" w:right="1170"/>
        <w:jc w:val="both"/>
      </w:pPr>
      <w:r>
        <w:t xml:space="preserve">For a subordinate lien loan </w:t>
      </w:r>
      <w:r w:rsidRPr="00C849CC">
        <w:t>the APR exceeds the Average Prime Offer Rate</w:t>
      </w:r>
      <w:r>
        <w:t xml:space="preserve"> by </w:t>
      </w:r>
      <w:r>
        <w:rPr>
          <w:b/>
        </w:rPr>
        <w:t>8.5%</w:t>
      </w:r>
    </w:p>
    <w:p w:rsidR="00944995" w:rsidRDefault="00944995" w:rsidP="00944995">
      <w:pPr>
        <w:pStyle w:val="ListParagraph"/>
      </w:pPr>
    </w:p>
    <w:p w:rsidR="006B7E10" w:rsidRPr="006B7E10" w:rsidRDefault="00C849CC" w:rsidP="005212C7">
      <w:pPr>
        <w:pStyle w:val="ListParagraph"/>
        <w:numPr>
          <w:ilvl w:val="2"/>
          <w:numId w:val="25"/>
        </w:numPr>
        <w:autoSpaceDE w:val="0"/>
        <w:autoSpaceDN w:val="0"/>
        <w:adjustRightInd w:val="0"/>
        <w:ind w:left="1440" w:right="1170"/>
        <w:jc w:val="both"/>
      </w:pPr>
      <w:r>
        <w:t xml:space="preserve">Where the </w:t>
      </w:r>
      <w:r w:rsidRPr="00C849CC">
        <w:t>transaction's total points and fees</w:t>
      </w:r>
      <w:r>
        <w:t xml:space="preserve"> exceed </w:t>
      </w:r>
      <w:r>
        <w:rPr>
          <w:b/>
        </w:rPr>
        <w:t>5%</w:t>
      </w:r>
      <w:r w:rsidRPr="00C849CC">
        <w:t xml:space="preserve"> of the total loan amount for a transaction with a loan amount of $20,000 or more</w:t>
      </w:r>
      <w:r w:rsidR="00712F61">
        <w:t>,</w:t>
      </w:r>
      <w:r>
        <w:t xml:space="preserve"> or t</w:t>
      </w:r>
      <w:r w:rsidRPr="00C849CC">
        <w:t xml:space="preserve">he </w:t>
      </w:r>
      <w:proofErr w:type="gramStart"/>
      <w:r w:rsidRPr="00C849CC">
        <w:t>lesser</w:t>
      </w:r>
      <w:proofErr w:type="gramEnd"/>
      <w:r w:rsidRPr="00C849CC">
        <w:t xml:space="preserve"> of </w:t>
      </w:r>
      <w:r w:rsidR="00944995" w:rsidRPr="00944995">
        <w:rPr>
          <w:b/>
        </w:rPr>
        <w:t>8%</w:t>
      </w:r>
      <w:r>
        <w:t xml:space="preserve"> </w:t>
      </w:r>
      <w:r w:rsidRPr="00C849CC">
        <w:t>of the total loan amount or $1,000 for a transaction with a loan amount of less than $20,000</w:t>
      </w:r>
      <w:r w:rsidR="00712F61">
        <w:t>.</w:t>
      </w:r>
      <w:r>
        <w:rPr>
          <w:rStyle w:val="FootnoteReference"/>
        </w:rPr>
        <w:footnoteReference w:id="29"/>
      </w:r>
    </w:p>
    <w:p w:rsidR="00944995" w:rsidRDefault="00944995" w:rsidP="00944995">
      <w:pPr>
        <w:pStyle w:val="ListParagraph"/>
      </w:pPr>
    </w:p>
    <w:p w:rsidR="006B7E10" w:rsidRPr="00B37857" w:rsidRDefault="006B7E10" w:rsidP="006B7E10">
      <w:pPr>
        <w:autoSpaceDE w:val="0"/>
        <w:autoSpaceDN w:val="0"/>
        <w:adjustRightInd w:val="0"/>
        <w:ind w:right="1170"/>
        <w:jc w:val="both"/>
      </w:pPr>
    </w:p>
    <w:p w:rsidR="00D82793" w:rsidRDefault="00D82793" w:rsidP="00F63060">
      <w:pPr>
        <w:pStyle w:val="Heading2"/>
      </w:pPr>
      <w:bookmarkStart w:id="172" w:name="_Toc393811656"/>
      <w:r>
        <w:lastRenderedPageBreak/>
        <w:t>Regulations</w:t>
      </w:r>
      <w:bookmarkEnd w:id="172"/>
      <w:r w:rsidRPr="00D82793">
        <w:t xml:space="preserve"> </w:t>
      </w:r>
    </w:p>
    <w:p w:rsidR="008E05C2" w:rsidRDefault="008E05C2" w:rsidP="00D82793">
      <w:pPr>
        <w:pStyle w:val="ListParagraph"/>
        <w:autoSpaceDE w:val="0"/>
        <w:autoSpaceDN w:val="0"/>
        <w:adjustRightInd w:val="0"/>
        <w:ind w:left="1080" w:right="1170"/>
        <w:jc w:val="both"/>
        <w:rPr>
          <w:sz w:val="24"/>
          <w:szCs w:val="24"/>
        </w:rPr>
      </w:pPr>
    </w:p>
    <w:p w:rsidR="00D82793" w:rsidRDefault="00D82793" w:rsidP="00D82793">
      <w:pPr>
        <w:pStyle w:val="ListParagraph"/>
        <w:autoSpaceDE w:val="0"/>
        <w:autoSpaceDN w:val="0"/>
        <w:adjustRightInd w:val="0"/>
        <w:ind w:left="1080" w:right="1170"/>
        <w:jc w:val="both"/>
        <w:rPr>
          <w:sz w:val="24"/>
          <w:szCs w:val="24"/>
        </w:rPr>
      </w:pPr>
      <w:r w:rsidRPr="00D82793">
        <w:rPr>
          <w:sz w:val="24"/>
          <w:szCs w:val="24"/>
        </w:rPr>
        <w:t>The regulations covering Section 32 loans include various disclosures and prohibitions.</w:t>
      </w:r>
    </w:p>
    <w:p w:rsidR="008E05C2" w:rsidRPr="00D82793" w:rsidRDefault="008E05C2" w:rsidP="00D82793">
      <w:pPr>
        <w:pStyle w:val="ListParagraph"/>
        <w:autoSpaceDE w:val="0"/>
        <w:autoSpaceDN w:val="0"/>
        <w:adjustRightInd w:val="0"/>
        <w:ind w:left="1080" w:right="1170"/>
        <w:jc w:val="both"/>
        <w:rPr>
          <w:sz w:val="24"/>
          <w:szCs w:val="24"/>
        </w:rPr>
      </w:pPr>
    </w:p>
    <w:p w:rsidR="00D82793" w:rsidRPr="008E05C2" w:rsidRDefault="00D82793" w:rsidP="005212C7">
      <w:pPr>
        <w:pStyle w:val="ListParagraph"/>
        <w:numPr>
          <w:ilvl w:val="0"/>
          <w:numId w:val="29"/>
        </w:numPr>
        <w:autoSpaceDE w:val="0"/>
        <w:autoSpaceDN w:val="0"/>
        <w:adjustRightInd w:val="0"/>
        <w:ind w:right="1170"/>
        <w:jc w:val="both"/>
        <w:rPr>
          <w:sz w:val="24"/>
          <w:szCs w:val="24"/>
          <w:u w:val="single"/>
        </w:rPr>
      </w:pPr>
      <w:r w:rsidRPr="008E05C2">
        <w:rPr>
          <w:sz w:val="24"/>
          <w:szCs w:val="24"/>
          <w:u w:val="single"/>
        </w:rPr>
        <w:t xml:space="preserve">Disclosures / Rescissions </w:t>
      </w:r>
    </w:p>
    <w:p w:rsidR="00D82793" w:rsidRPr="00D82793" w:rsidRDefault="00D82793" w:rsidP="005212C7">
      <w:pPr>
        <w:pStyle w:val="ListParagraph"/>
        <w:numPr>
          <w:ilvl w:val="0"/>
          <w:numId w:val="30"/>
        </w:numPr>
        <w:autoSpaceDE w:val="0"/>
        <w:autoSpaceDN w:val="0"/>
        <w:adjustRightInd w:val="0"/>
        <w:ind w:right="1170"/>
        <w:jc w:val="both"/>
        <w:rPr>
          <w:sz w:val="24"/>
          <w:szCs w:val="24"/>
        </w:rPr>
      </w:pPr>
      <w:r w:rsidRPr="00D82793">
        <w:rPr>
          <w:sz w:val="24"/>
          <w:szCs w:val="24"/>
        </w:rPr>
        <w:t xml:space="preserve">Disclosures must be given to borrowers at least </w:t>
      </w:r>
      <w:r w:rsidRPr="008E05C2">
        <w:rPr>
          <w:b/>
          <w:sz w:val="24"/>
          <w:szCs w:val="24"/>
        </w:rPr>
        <w:t>three</w:t>
      </w:r>
      <w:r w:rsidRPr="00D82793">
        <w:rPr>
          <w:sz w:val="24"/>
          <w:szCs w:val="24"/>
        </w:rPr>
        <w:t xml:space="preserve"> business days before the loan is finalized.  Loans under HOEPA are also subject to the normal </w:t>
      </w:r>
      <w:r w:rsidR="00712F61" w:rsidRPr="00D82793">
        <w:rPr>
          <w:sz w:val="24"/>
          <w:szCs w:val="24"/>
        </w:rPr>
        <w:t>three</w:t>
      </w:r>
      <w:r w:rsidR="00712F61">
        <w:rPr>
          <w:sz w:val="24"/>
          <w:szCs w:val="24"/>
        </w:rPr>
        <w:t>-</w:t>
      </w:r>
      <w:r w:rsidR="00712F61" w:rsidRPr="00D82793">
        <w:rPr>
          <w:sz w:val="24"/>
          <w:szCs w:val="24"/>
        </w:rPr>
        <w:t>business</w:t>
      </w:r>
      <w:r w:rsidR="00712F61">
        <w:rPr>
          <w:sz w:val="24"/>
          <w:szCs w:val="24"/>
        </w:rPr>
        <w:t>-</w:t>
      </w:r>
      <w:r w:rsidRPr="00D82793">
        <w:rPr>
          <w:sz w:val="24"/>
          <w:szCs w:val="24"/>
        </w:rPr>
        <w:t>day rescission period that pertains to other home equity loans. This gives HOEPA borrowers a minimum of</w:t>
      </w:r>
      <w:r w:rsidR="00F355FE">
        <w:rPr>
          <w:sz w:val="24"/>
          <w:szCs w:val="24"/>
        </w:rPr>
        <w:t xml:space="preserve"> </w:t>
      </w:r>
      <w:r w:rsidRPr="00D82793">
        <w:rPr>
          <w:sz w:val="24"/>
          <w:szCs w:val="24"/>
        </w:rPr>
        <w:t xml:space="preserve">six business days to change their minds about </w:t>
      </w:r>
      <w:r w:rsidR="00F355FE">
        <w:rPr>
          <w:sz w:val="24"/>
          <w:szCs w:val="24"/>
        </w:rPr>
        <w:t>potential</w:t>
      </w:r>
      <w:r w:rsidR="00F355FE" w:rsidRPr="00D82793">
        <w:rPr>
          <w:sz w:val="24"/>
          <w:szCs w:val="24"/>
        </w:rPr>
        <w:t xml:space="preserve"> </w:t>
      </w:r>
      <w:r w:rsidRPr="00D82793">
        <w:rPr>
          <w:sz w:val="24"/>
          <w:szCs w:val="24"/>
        </w:rPr>
        <w:t>unwise mortgage contracts.</w:t>
      </w:r>
    </w:p>
    <w:p w:rsidR="00D82793" w:rsidRPr="00D82793" w:rsidRDefault="00D82793" w:rsidP="005212C7">
      <w:pPr>
        <w:pStyle w:val="ListParagraph"/>
        <w:numPr>
          <w:ilvl w:val="0"/>
          <w:numId w:val="30"/>
        </w:numPr>
        <w:autoSpaceDE w:val="0"/>
        <w:autoSpaceDN w:val="0"/>
        <w:adjustRightInd w:val="0"/>
        <w:ind w:right="1170"/>
        <w:jc w:val="both"/>
        <w:rPr>
          <w:sz w:val="24"/>
          <w:szCs w:val="24"/>
        </w:rPr>
      </w:pPr>
      <w:r w:rsidRPr="00D82793">
        <w:rPr>
          <w:sz w:val="24"/>
          <w:szCs w:val="24"/>
        </w:rPr>
        <w:t xml:space="preserve">The mortgage loan originator must give a written notice stating that the loan need not be completed, even though the borrower has signed the loan application and received the required disclosures. The notice must warn the borrower that, because the lender will have a mortgage on the home, the borrower could lose the residence and any money put into it upon failure to make payments. </w:t>
      </w:r>
    </w:p>
    <w:p w:rsidR="00D82793" w:rsidRPr="008E05C2" w:rsidRDefault="00D82793" w:rsidP="005212C7">
      <w:pPr>
        <w:pStyle w:val="ListParagraph"/>
        <w:numPr>
          <w:ilvl w:val="0"/>
          <w:numId w:val="29"/>
        </w:numPr>
        <w:autoSpaceDE w:val="0"/>
        <w:autoSpaceDN w:val="0"/>
        <w:adjustRightInd w:val="0"/>
        <w:ind w:right="1170"/>
        <w:jc w:val="both"/>
        <w:rPr>
          <w:sz w:val="24"/>
          <w:szCs w:val="24"/>
          <w:u w:val="single"/>
        </w:rPr>
      </w:pPr>
      <w:r w:rsidRPr="008E05C2">
        <w:rPr>
          <w:sz w:val="24"/>
          <w:szCs w:val="24"/>
          <w:u w:val="single"/>
        </w:rPr>
        <w:t>Prohibitions</w:t>
      </w:r>
    </w:p>
    <w:p w:rsidR="00C849CC" w:rsidRDefault="00D82793" w:rsidP="005212C7">
      <w:pPr>
        <w:pStyle w:val="ListParagraph"/>
        <w:numPr>
          <w:ilvl w:val="0"/>
          <w:numId w:val="46"/>
        </w:numPr>
        <w:autoSpaceDE w:val="0"/>
        <w:autoSpaceDN w:val="0"/>
        <w:adjustRightInd w:val="0"/>
        <w:ind w:right="1170"/>
        <w:jc w:val="both"/>
        <w:rPr>
          <w:sz w:val="24"/>
          <w:szCs w:val="24"/>
        </w:rPr>
      </w:pPr>
      <w:r w:rsidRPr="008E05C2">
        <w:rPr>
          <w:b/>
          <w:sz w:val="24"/>
          <w:szCs w:val="24"/>
        </w:rPr>
        <w:t xml:space="preserve">Balloon </w:t>
      </w:r>
      <w:r w:rsidR="00BC1D46">
        <w:rPr>
          <w:b/>
          <w:sz w:val="24"/>
          <w:szCs w:val="24"/>
        </w:rPr>
        <w:t>p</w:t>
      </w:r>
      <w:r w:rsidRPr="008E05C2">
        <w:rPr>
          <w:b/>
          <w:sz w:val="24"/>
          <w:szCs w:val="24"/>
        </w:rPr>
        <w:t>ayment</w:t>
      </w:r>
      <w:r w:rsidR="00BC1D46">
        <w:rPr>
          <w:b/>
          <w:sz w:val="24"/>
          <w:szCs w:val="24"/>
        </w:rPr>
        <w:t xml:space="preserve"> prohibitions</w:t>
      </w:r>
      <w:r w:rsidRPr="00D82793">
        <w:rPr>
          <w:sz w:val="24"/>
          <w:szCs w:val="24"/>
        </w:rPr>
        <w:t>.  No Balloon Payments are permitted for loans with a term of less than 5 years.  Balloon Payments are defined as a loan where the regular payments do not fully pay off the principal balance and a lump sum payment of more than twice the amount of the regular payments is required.  This excludes bridge loans with less than a 1-year term for construction.</w:t>
      </w:r>
    </w:p>
    <w:p w:rsidR="00C849CC" w:rsidRDefault="00D82793" w:rsidP="005212C7">
      <w:pPr>
        <w:pStyle w:val="ListParagraph"/>
        <w:numPr>
          <w:ilvl w:val="0"/>
          <w:numId w:val="46"/>
        </w:numPr>
        <w:autoSpaceDE w:val="0"/>
        <w:autoSpaceDN w:val="0"/>
        <w:adjustRightInd w:val="0"/>
        <w:ind w:right="1170"/>
        <w:jc w:val="both"/>
        <w:rPr>
          <w:sz w:val="24"/>
          <w:szCs w:val="24"/>
        </w:rPr>
      </w:pPr>
      <w:r w:rsidRPr="008E05C2">
        <w:rPr>
          <w:b/>
          <w:sz w:val="24"/>
          <w:szCs w:val="24"/>
        </w:rPr>
        <w:t>Negative amortization</w:t>
      </w:r>
      <w:r w:rsidRPr="00D82793">
        <w:rPr>
          <w:sz w:val="24"/>
          <w:szCs w:val="24"/>
        </w:rPr>
        <w:t xml:space="preserve"> is prohibited. </w:t>
      </w:r>
    </w:p>
    <w:p w:rsidR="00C849CC" w:rsidRDefault="00D82793" w:rsidP="005212C7">
      <w:pPr>
        <w:pStyle w:val="ListParagraph"/>
        <w:numPr>
          <w:ilvl w:val="0"/>
          <w:numId w:val="46"/>
        </w:numPr>
        <w:autoSpaceDE w:val="0"/>
        <w:autoSpaceDN w:val="0"/>
        <w:adjustRightInd w:val="0"/>
        <w:ind w:right="1170"/>
        <w:jc w:val="both"/>
        <w:rPr>
          <w:sz w:val="24"/>
          <w:szCs w:val="24"/>
        </w:rPr>
      </w:pPr>
      <w:r w:rsidRPr="008E05C2">
        <w:rPr>
          <w:b/>
          <w:sz w:val="24"/>
          <w:szCs w:val="24"/>
        </w:rPr>
        <w:t>Default rate limitations</w:t>
      </w:r>
      <w:r w:rsidRPr="00D82793">
        <w:rPr>
          <w:sz w:val="24"/>
          <w:szCs w:val="24"/>
        </w:rPr>
        <w:t xml:space="preserve">.  After the borrower defaults, the borrower </w:t>
      </w:r>
      <w:r w:rsidR="00177AEE">
        <w:rPr>
          <w:sz w:val="24"/>
          <w:szCs w:val="24"/>
        </w:rPr>
        <w:t>will not have</w:t>
      </w:r>
      <w:r w:rsidR="00177AEE" w:rsidRPr="00D82793">
        <w:rPr>
          <w:sz w:val="24"/>
          <w:szCs w:val="24"/>
        </w:rPr>
        <w:t xml:space="preserve"> </w:t>
      </w:r>
      <w:r w:rsidRPr="00D82793">
        <w:rPr>
          <w:sz w:val="24"/>
          <w:szCs w:val="24"/>
        </w:rPr>
        <w:t xml:space="preserve">to pay interest higher than before the default occurred.  Also, the rebates of interest upon default </w:t>
      </w:r>
      <w:r w:rsidR="00177AEE">
        <w:rPr>
          <w:sz w:val="24"/>
          <w:szCs w:val="24"/>
        </w:rPr>
        <w:t xml:space="preserve">may not </w:t>
      </w:r>
      <w:r w:rsidRPr="00D82793">
        <w:rPr>
          <w:sz w:val="24"/>
          <w:szCs w:val="24"/>
        </w:rPr>
        <w:t xml:space="preserve">be calculated by any method less favorable than the actuarial method. </w:t>
      </w:r>
    </w:p>
    <w:p w:rsidR="00C849CC" w:rsidRDefault="00D82793" w:rsidP="005212C7">
      <w:pPr>
        <w:pStyle w:val="ListParagraph"/>
        <w:numPr>
          <w:ilvl w:val="0"/>
          <w:numId w:val="46"/>
        </w:numPr>
        <w:autoSpaceDE w:val="0"/>
        <w:autoSpaceDN w:val="0"/>
        <w:adjustRightInd w:val="0"/>
        <w:ind w:right="1170"/>
        <w:jc w:val="both"/>
        <w:rPr>
          <w:sz w:val="24"/>
          <w:szCs w:val="24"/>
        </w:rPr>
      </w:pPr>
      <w:r w:rsidRPr="008E05C2">
        <w:rPr>
          <w:b/>
          <w:sz w:val="24"/>
          <w:szCs w:val="24"/>
        </w:rPr>
        <w:t>Prepayment Penalties</w:t>
      </w:r>
      <w:r w:rsidRPr="00D82793">
        <w:rPr>
          <w:sz w:val="24"/>
          <w:szCs w:val="24"/>
        </w:rPr>
        <w:t>.  Prepayment Penalties are prohibited the same way as Higher-Priced Loans are in Section 35</w:t>
      </w:r>
      <w:r w:rsidR="00177AEE">
        <w:rPr>
          <w:sz w:val="24"/>
          <w:szCs w:val="24"/>
        </w:rPr>
        <w:t>,</w:t>
      </w:r>
      <w:r w:rsidRPr="00D82793">
        <w:rPr>
          <w:sz w:val="24"/>
          <w:szCs w:val="24"/>
        </w:rPr>
        <w:t xml:space="preserve"> as discussed previously</w:t>
      </w:r>
      <w:r w:rsidR="00177AEE">
        <w:rPr>
          <w:sz w:val="24"/>
          <w:szCs w:val="24"/>
        </w:rPr>
        <w:t>,</w:t>
      </w:r>
      <w:r w:rsidRPr="00D82793">
        <w:rPr>
          <w:sz w:val="24"/>
          <w:szCs w:val="24"/>
        </w:rPr>
        <w:t xml:space="preserve"> except  for one additional term:  at consummation, the consumer’s total monthly debt payments (including amounts owed under the mortgage) do not exceed 50 percent of the consumer’s monthly gross income</w:t>
      </w:r>
    </w:p>
    <w:p w:rsidR="00C849CC" w:rsidRDefault="00D82793" w:rsidP="005212C7">
      <w:pPr>
        <w:pStyle w:val="ListParagraph"/>
        <w:numPr>
          <w:ilvl w:val="0"/>
          <w:numId w:val="46"/>
        </w:numPr>
        <w:autoSpaceDE w:val="0"/>
        <w:autoSpaceDN w:val="0"/>
        <w:adjustRightInd w:val="0"/>
        <w:ind w:right="1170"/>
        <w:jc w:val="both"/>
        <w:rPr>
          <w:sz w:val="24"/>
          <w:szCs w:val="24"/>
        </w:rPr>
      </w:pPr>
      <w:r w:rsidRPr="008E05C2">
        <w:rPr>
          <w:b/>
          <w:sz w:val="24"/>
          <w:szCs w:val="24"/>
        </w:rPr>
        <w:t>Due-On-Demand Clause</w:t>
      </w:r>
      <w:r w:rsidRPr="00D82793">
        <w:rPr>
          <w:sz w:val="24"/>
          <w:szCs w:val="24"/>
        </w:rPr>
        <w:t xml:space="preserve">. A due-on-demand clause is prohibited, except in the following situations (note that this clause is </w:t>
      </w:r>
      <w:r w:rsidR="00F355FE">
        <w:rPr>
          <w:sz w:val="24"/>
          <w:szCs w:val="24"/>
        </w:rPr>
        <w:t xml:space="preserve">completely </w:t>
      </w:r>
      <w:r w:rsidRPr="00D82793">
        <w:rPr>
          <w:sz w:val="24"/>
          <w:szCs w:val="24"/>
        </w:rPr>
        <w:t xml:space="preserve">different from a balloon loan, which comes due at a certain </w:t>
      </w:r>
      <w:r w:rsidR="00F355FE">
        <w:rPr>
          <w:sz w:val="24"/>
          <w:szCs w:val="24"/>
        </w:rPr>
        <w:t xml:space="preserve">point in </w:t>
      </w:r>
      <w:r w:rsidRPr="00D82793">
        <w:rPr>
          <w:sz w:val="24"/>
          <w:szCs w:val="24"/>
        </w:rPr>
        <w:t xml:space="preserve">time by agreement): </w:t>
      </w:r>
    </w:p>
    <w:p w:rsidR="00D82793" w:rsidRPr="00D82793" w:rsidRDefault="00D82793" w:rsidP="005212C7">
      <w:pPr>
        <w:pStyle w:val="ListParagraph"/>
        <w:numPr>
          <w:ilvl w:val="1"/>
          <w:numId w:val="30"/>
        </w:numPr>
        <w:autoSpaceDE w:val="0"/>
        <w:autoSpaceDN w:val="0"/>
        <w:adjustRightInd w:val="0"/>
        <w:ind w:right="1170"/>
        <w:jc w:val="both"/>
        <w:rPr>
          <w:sz w:val="24"/>
          <w:szCs w:val="24"/>
        </w:rPr>
      </w:pPr>
      <w:r w:rsidRPr="00D82793">
        <w:rPr>
          <w:sz w:val="24"/>
          <w:szCs w:val="24"/>
        </w:rPr>
        <w:t>There is fraud or material misrepresentation by the consumer in connection with the loan</w:t>
      </w:r>
    </w:p>
    <w:p w:rsidR="008E05C2" w:rsidRDefault="00D82793" w:rsidP="005212C7">
      <w:pPr>
        <w:pStyle w:val="ListParagraph"/>
        <w:numPr>
          <w:ilvl w:val="1"/>
          <w:numId w:val="30"/>
        </w:numPr>
        <w:autoSpaceDE w:val="0"/>
        <w:autoSpaceDN w:val="0"/>
        <w:adjustRightInd w:val="0"/>
        <w:ind w:right="1170"/>
        <w:jc w:val="both"/>
        <w:rPr>
          <w:sz w:val="24"/>
          <w:szCs w:val="24"/>
        </w:rPr>
      </w:pPr>
      <w:r w:rsidRPr="00D82793">
        <w:rPr>
          <w:sz w:val="24"/>
          <w:szCs w:val="24"/>
        </w:rPr>
        <w:t>The borrower fails to meet the repayment terms of the agreement</w:t>
      </w:r>
    </w:p>
    <w:p w:rsidR="00D82793" w:rsidRPr="008E05C2" w:rsidRDefault="00D82793" w:rsidP="005212C7">
      <w:pPr>
        <w:pStyle w:val="ListParagraph"/>
        <w:numPr>
          <w:ilvl w:val="1"/>
          <w:numId w:val="30"/>
        </w:numPr>
        <w:autoSpaceDE w:val="0"/>
        <w:autoSpaceDN w:val="0"/>
        <w:adjustRightInd w:val="0"/>
        <w:ind w:right="1170"/>
        <w:jc w:val="both"/>
        <w:rPr>
          <w:sz w:val="24"/>
          <w:szCs w:val="24"/>
        </w:rPr>
      </w:pPr>
      <w:r w:rsidRPr="008E05C2">
        <w:rPr>
          <w:sz w:val="24"/>
          <w:szCs w:val="24"/>
        </w:rPr>
        <w:lastRenderedPageBreak/>
        <w:t xml:space="preserve">There is </w:t>
      </w:r>
      <w:r w:rsidR="00F355FE">
        <w:rPr>
          <w:sz w:val="24"/>
          <w:szCs w:val="24"/>
        </w:rPr>
        <w:t>an</w:t>
      </w:r>
      <w:r w:rsidR="00F355FE" w:rsidRPr="008E05C2">
        <w:rPr>
          <w:sz w:val="24"/>
          <w:szCs w:val="24"/>
        </w:rPr>
        <w:t xml:space="preserve"> </w:t>
      </w:r>
      <w:r w:rsidRPr="008E05C2">
        <w:rPr>
          <w:sz w:val="24"/>
          <w:szCs w:val="24"/>
        </w:rPr>
        <w:t>action by the borrower that adversely affects the creditor’s security</w:t>
      </w:r>
    </w:p>
    <w:p w:rsidR="008E05C2" w:rsidRPr="00D82793" w:rsidRDefault="008E05C2" w:rsidP="008E05C2">
      <w:pPr>
        <w:pStyle w:val="ListParagraph"/>
        <w:autoSpaceDE w:val="0"/>
        <w:autoSpaceDN w:val="0"/>
        <w:adjustRightInd w:val="0"/>
        <w:ind w:left="2520" w:right="1170"/>
        <w:jc w:val="both"/>
        <w:rPr>
          <w:sz w:val="24"/>
          <w:szCs w:val="24"/>
        </w:rPr>
      </w:pPr>
    </w:p>
    <w:p w:rsidR="00D82793" w:rsidRPr="008E05C2" w:rsidRDefault="00BC1D46" w:rsidP="005212C7">
      <w:pPr>
        <w:pStyle w:val="ListParagraph"/>
        <w:numPr>
          <w:ilvl w:val="0"/>
          <w:numId w:val="29"/>
        </w:numPr>
        <w:autoSpaceDE w:val="0"/>
        <w:autoSpaceDN w:val="0"/>
        <w:adjustRightInd w:val="0"/>
        <w:ind w:right="1170"/>
        <w:jc w:val="both"/>
        <w:rPr>
          <w:sz w:val="24"/>
          <w:szCs w:val="24"/>
          <w:u w:val="single"/>
        </w:rPr>
      </w:pPr>
      <w:r w:rsidRPr="008E05C2">
        <w:rPr>
          <w:sz w:val="24"/>
          <w:szCs w:val="24"/>
          <w:u w:val="single"/>
        </w:rPr>
        <w:t>Newly</w:t>
      </w:r>
      <w:r>
        <w:rPr>
          <w:sz w:val="24"/>
          <w:szCs w:val="24"/>
          <w:u w:val="single"/>
        </w:rPr>
        <w:t>-</w:t>
      </w:r>
      <w:r w:rsidR="00D82793" w:rsidRPr="008E05C2">
        <w:rPr>
          <w:sz w:val="24"/>
          <w:szCs w:val="24"/>
          <w:u w:val="single"/>
        </w:rPr>
        <w:t xml:space="preserve">Added Prohibitions after 2002  </w:t>
      </w:r>
    </w:p>
    <w:p w:rsidR="00C849CC" w:rsidRDefault="00D82793" w:rsidP="005212C7">
      <w:pPr>
        <w:pStyle w:val="ListParagraph"/>
        <w:numPr>
          <w:ilvl w:val="0"/>
          <w:numId w:val="47"/>
        </w:numPr>
        <w:autoSpaceDE w:val="0"/>
        <w:autoSpaceDN w:val="0"/>
        <w:adjustRightInd w:val="0"/>
        <w:ind w:right="1170"/>
        <w:jc w:val="both"/>
        <w:rPr>
          <w:sz w:val="24"/>
          <w:szCs w:val="24"/>
        </w:rPr>
      </w:pPr>
      <w:r w:rsidRPr="008E05C2">
        <w:rPr>
          <w:b/>
          <w:sz w:val="24"/>
          <w:szCs w:val="24"/>
        </w:rPr>
        <w:t>Lending without considering</w:t>
      </w:r>
      <w:r w:rsidR="0018700A">
        <w:rPr>
          <w:b/>
          <w:sz w:val="24"/>
          <w:szCs w:val="24"/>
        </w:rPr>
        <w:t xml:space="preserve"> </w:t>
      </w:r>
      <w:r w:rsidRPr="008E05C2">
        <w:rPr>
          <w:b/>
          <w:sz w:val="24"/>
          <w:szCs w:val="24"/>
        </w:rPr>
        <w:t>Repayment Ability and Income Verification</w:t>
      </w:r>
      <w:r w:rsidRPr="00D82793">
        <w:rPr>
          <w:sz w:val="24"/>
          <w:szCs w:val="24"/>
        </w:rPr>
        <w:t xml:space="preserve">.  A lender cannot make loans based on the collateral value of a borrower’s property without regard to the borrower’s ability to repay the loan.  The lender must take into account the borrower’s current and reasonably expected income, employment, assets other than the collateral, current obligations and </w:t>
      </w:r>
      <w:r w:rsidR="00F355FE" w:rsidRPr="00D82793">
        <w:rPr>
          <w:sz w:val="24"/>
          <w:szCs w:val="24"/>
        </w:rPr>
        <w:t>mortgage</w:t>
      </w:r>
      <w:r w:rsidR="00F355FE">
        <w:rPr>
          <w:sz w:val="24"/>
          <w:szCs w:val="24"/>
        </w:rPr>
        <w:t>-</w:t>
      </w:r>
      <w:r w:rsidRPr="00D82793">
        <w:rPr>
          <w:sz w:val="24"/>
          <w:szCs w:val="24"/>
        </w:rPr>
        <w:t>related obligations.  The prohibition is the same as the Higher-Priced Loans mentioned previously.</w:t>
      </w:r>
    </w:p>
    <w:p w:rsidR="00C849CC" w:rsidRDefault="00D82793" w:rsidP="005212C7">
      <w:pPr>
        <w:pStyle w:val="ListParagraph"/>
        <w:numPr>
          <w:ilvl w:val="0"/>
          <w:numId w:val="47"/>
        </w:numPr>
        <w:autoSpaceDE w:val="0"/>
        <w:autoSpaceDN w:val="0"/>
        <w:adjustRightInd w:val="0"/>
        <w:ind w:right="1170"/>
        <w:jc w:val="both"/>
        <w:rPr>
          <w:sz w:val="24"/>
          <w:szCs w:val="24"/>
        </w:rPr>
      </w:pPr>
      <w:r w:rsidRPr="008E05C2">
        <w:rPr>
          <w:b/>
          <w:sz w:val="24"/>
          <w:szCs w:val="24"/>
        </w:rPr>
        <w:t>Refinancing Limitations</w:t>
      </w:r>
      <w:r w:rsidRPr="00D82793">
        <w:rPr>
          <w:sz w:val="24"/>
          <w:szCs w:val="24"/>
        </w:rPr>
        <w:t xml:space="preserve">.  Creditors may not refinance a High-Cost Mortgage into another High-Cost Mortgage within the first 12 months of origination, unless the new loan is in the borrower’s best interest. The prohibition also applies to assignees holding or servicing the loan. </w:t>
      </w:r>
    </w:p>
    <w:p w:rsidR="00C849CC" w:rsidRDefault="00D82793" w:rsidP="005212C7">
      <w:pPr>
        <w:pStyle w:val="ListParagraph"/>
        <w:numPr>
          <w:ilvl w:val="0"/>
          <w:numId w:val="47"/>
        </w:numPr>
        <w:autoSpaceDE w:val="0"/>
        <w:autoSpaceDN w:val="0"/>
        <w:adjustRightInd w:val="0"/>
        <w:ind w:right="1170"/>
        <w:jc w:val="both"/>
        <w:rPr>
          <w:sz w:val="24"/>
          <w:szCs w:val="24"/>
        </w:rPr>
      </w:pPr>
      <w:r w:rsidRPr="008E05C2">
        <w:rPr>
          <w:b/>
          <w:sz w:val="24"/>
          <w:szCs w:val="24"/>
        </w:rPr>
        <w:t>Home Improvement Proceeds</w:t>
      </w:r>
      <w:r w:rsidRPr="00D82793">
        <w:rPr>
          <w:sz w:val="24"/>
          <w:szCs w:val="24"/>
        </w:rPr>
        <w:t xml:space="preserve">. Proceeds for home improvement loans must be disbursed either directly to the borrower, jointly to the borrower and the home improvement contractor or, in some instances, to the escrow agent.   </w:t>
      </w:r>
    </w:p>
    <w:p w:rsidR="00C849CC" w:rsidRDefault="00D82793" w:rsidP="005212C7">
      <w:pPr>
        <w:pStyle w:val="ListParagraph"/>
        <w:numPr>
          <w:ilvl w:val="0"/>
          <w:numId w:val="47"/>
        </w:numPr>
        <w:autoSpaceDE w:val="0"/>
        <w:autoSpaceDN w:val="0"/>
        <w:adjustRightInd w:val="0"/>
        <w:ind w:right="1170"/>
        <w:jc w:val="both"/>
        <w:rPr>
          <w:sz w:val="24"/>
          <w:szCs w:val="24"/>
        </w:rPr>
      </w:pPr>
      <w:r w:rsidRPr="008E05C2">
        <w:rPr>
          <w:b/>
          <w:sz w:val="24"/>
          <w:szCs w:val="24"/>
        </w:rPr>
        <w:t>Regulation evasion.</w:t>
      </w:r>
      <w:r w:rsidRPr="00D82793">
        <w:rPr>
          <w:sz w:val="24"/>
          <w:szCs w:val="24"/>
        </w:rPr>
        <w:t xml:space="preserve">  The law prohibits mortgage loan originators from structuring a mortgage just to evade the High-Cost Mortgage regulations.</w:t>
      </w:r>
      <w:r w:rsidR="00B11EC5">
        <w:rPr>
          <w:sz w:val="24"/>
          <w:szCs w:val="24"/>
        </w:rPr>
        <w:br/>
      </w:r>
    </w:p>
    <w:p w:rsidR="00D82793" w:rsidRPr="008E05C2" w:rsidRDefault="00D82793" w:rsidP="005212C7">
      <w:pPr>
        <w:pStyle w:val="ListParagraph"/>
        <w:numPr>
          <w:ilvl w:val="0"/>
          <w:numId w:val="29"/>
        </w:numPr>
        <w:autoSpaceDE w:val="0"/>
        <w:autoSpaceDN w:val="0"/>
        <w:adjustRightInd w:val="0"/>
        <w:ind w:right="1170"/>
        <w:jc w:val="both"/>
        <w:rPr>
          <w:sz w:val="24"/>
          <w:szCs w:val="24"/>
          <w:u w:val="single"/>
        </w:rPr>
      </w:pPr>
      <w:r w:rsidRPr="008E05C2">
        <w:rPr>
          <w:sz w:val="24"/>
          <w:szCs w:val="24"/>
          <w:u w:val="single"/>
        </w:rPr>
        <w:t>Penalties</w:t>
      </w:r>
    </w:p>
    <w:p w:rsidR="00D82793" w:rsidRDefault="00D82793" w:rsidP="008E05C2">
      <w:pPr>
        <w:pStyle w:val="ListParagraph"/>
        <w:autoSpaceDE w:val="0"/>
        <w:autoSpaceDN w:val="0"/>
        <w:adjustRightInd w:val="0"/>
        <w:ind w:left="1800" w:right="1170"/>
        <w:jc w:val="both"/>
        <w:rPr>
          <w:sz w:val="24"/>
          <w:szCs w:val="24"/>
        </w:rPr>
      </w:pPr>
      <w:r w:rsidRPr="00D82793">
        <w:rPr>
          <w:sz w:val="24"/>
          <w:szCs w:val="24"/>
        </w:rPr>
        <w:t>A borrower who sues a mortgage loan originator for violation of regulation regarding High-Cost Mortgages is entitled to recover all damages and fees and</w:t>
      </w:r>
      <w:r w:rsidR="00B11EC5">
        <w:rPr>
          <w:sz w:val="24"/>
          <w:szCs w:val="24"/>
        </w:rPr>
        <w:t>,</w:t>
      </w:r>
      <w:r w:rsidRPr="00D82793">
        <w:rPr>
          <w:sz w:val="24"/>
          <w:szCs w:val="24"/>
        </w:rPr>
        <w:t xml:space="preserve"> in addition</w:t>
      </w:r>
      <w:r w:rsidR="00B11EC5">
        <w:rPr>
          <w:sz w:val="24"/>
          <w:szCs w:val="24"/>
        </w:rPr>
        <w:t>,</w:t>
      </w:r>
      <w:r w:rsidRPr="00D82793">
        <w:rPr>
          <w:sz w:val="24"/>
          <w:szCs w:val="24"/>
        </w:rPr>
        <w:t xml:space="preserve"> is able to rescind the loan for up to 3 years.</w:t>
      </w:r>
    </w:p>
    <w:p w:rsidR="003220B9" w:rsidRDefault="003220B9" w:rsidP="008E05C2">
      <w:pPr>
        <w:pStyle w:val="ListParagraph"/>
        <w:autoSpaceDE w:val="0"/>
        <w:autoSpaceDN w:val="0"/>
        <w:adjustRightInd w:val="0"/>
        <w:ind w:left="1800" w:right="1170"/>
        <w:jc w:val="both"/>
        <w:rPr>
          <w:sz w:val="24"/>
          <w:szCs w:val="24"/>
        </w:rPr>
      </w:pPr>
    </w:p>
    <w:p w:rsidR="003220B9" w:rsidRDefault="003220B9" w:rsidP="00F63060">
      <w:pPr>
        <w:pStyle w:val="Heading2"/>
      </w:pPr>
      <w:bookmarkStart w:id="173" w:name="_Toc393811657"/>
      <w:r w:rsidRPr="003220B9">
        <w:t>TILA Disclosure for Section 32 Mortgages</w:t>
      </w:r>
      <w:bookmarkEnd w:id="173"/>
    </w:p>
    <w:p w:rsidR="003220B9" w:rsidRDefault="003220B9" w:rsidP="003220B9">
      <w:pPr>
        <w:pStyle w:val="ListParagraph"/>
        <w:autoSpaceDE w:val="0"/>
        <w:autoSpaceDN w:val="0"/>
        <w:adjustRightInd w:val="0"/>
        <w:ind w:left="1080" w:right="1170"/>
        <w:jc w:val="both"/>
        <w:rPr>
          <w:rFonts w:ascii="Humnst777 Lt BT" w:hAnsi="Humnst777 Lt BT"/>
          <w:color w:val="365F91" w:themeColor="accent1" w:themeShade="BF"/>
          <w:sz w:val="36"/>
          <w:szCs w:val="36"/>
        </w:rPr>
      </w:pPr>
    </w:p>
    <w:p w:rsidR="003220B9" w:rsidRDefault="003220B9" w:rsidP="003220B9">
      <w:pPr>
        <w:autoSpaceDE w:val="0"/>
        <w:autoSpaceDN w:val="0"/>
        <w:adjustRightInd w:val="0"/>
        <w:ind w:left="1080" w:right="1170"/>
        <w:jc w:val="both"/>
        <w:rPr>
          <w:sz w:val="24"/>
          <w:szCs w:val="24"/>
        </w:rPr>
      </w:pPr>
      <w:r w:rsidRPr="003220B9">
        <w:rPr>
          <w:sz w:val="24"/>
          <w:szCs w:val="24"/>
        </w:rPr>
        <w:t>For a loan with an APR that meets the Section 32 Mortgage trigger, an MLO needs to provide the borrower with the TILA disclosure for Section 32 Mortgages, which cover</w:t>
      </w:r>
      <w:r w:rsidR="00B11EC5">
        <w:rPr>
          <w:sz w:val="24"/>
          <w:szCs w:val="24"/>
        </w:rPr>
        <w:t>s</w:t>
      </w:r>
      <w:r w:rsidRPr="003220B9">
        <w:rPr>
          <w:sz w:val="24"/>
          <w:szCs w:val="24"/>
        </w:rPr>
        <w:t xml:space="preserve"> refinance loans and </w:t>
      </w:r>
      <w:r w:rsidR="003B5751" w:rsidRPr="003220B9">
        <w:rPr>
          <w:sz w:val="24"/>
          <w:szCs w:val="24"/>
        </w:rPr>
        <w:t>home</w:t>
      </w:r>
      <w:r w:rsidR="003B5751">
        <w:rPr>
          <w:sz w:val="24"/>
          <w:szCs w:val="24"/>
        </w:rPr>
        <w:t>-</w:t>
      </w:r>
      <w:r w:rsidRPr="003220B9">
        <w:rPr>
          <w:sz w:val="24"/>
          <w:szCs w:val="24"/>
        </w:rPr>
        <w:t>equity installment loans.</w:t>
      </w:r>
    </w:p>
    <w:p w:rsidR="003220B9" w:rsidRPr="003220B9" w:rsidRDefault="003220B9" w:rsidP="003220B9">
      <w:pPr>
        <w:autoSpaceDE w:val="0"/>
        <w:autoSpaceDN w:val="0"/>
        <w:adjustRightInd w:val="0"/>
        <w:ind w:left="1080" w:right="1170"/>
        <w:rPr>
          <w:sz w:val="24"/>
          <w:szCs w:val="24"/>
        </w:rPr>
      </w:pPr>
    </w:p>
    <w:p w:rsidR="003220B9" w:rsidRDefault="003220B9" w:rsidP="003220B9">
      <w:pPr>
        <w:autoSpaceDE w:val="0"/>
        <w:autoSpaceDN w:val="0"/>
        <w:adjustRightInd w:val="0"/>
        <w:ind w:left="1080" w:right="1170"/>
        <w:jc w:val="both"/>
        <w:rPr>
          <w:sz w:val="24"/>
          <w:szCs w:val="24"/>
        </w:rPr>
      </w:pPr>
      <w:r w:rsidRPr="003220B9">
        <w:rPr>
          <w:sz w:val="24"/>
          <w:szCs w:val="24"/>
        </w:rPr>
        <w:t xml:space="preserve">Again, the underlying driver behind this disclosure is to alert the borrower to the potential consequences of getting this loan.  The government is especially worried that the borrowers of subprime loans might enter into expensive mortgage arrangements without being fully aware of the consequences.  </w:t>
      </w:r>
    </w:p>
    <w:p w:rsidR="003220B9" w:rsidRPr="003220B9" w:rsidRDefault="003220B9" w:rsidP="003220B9">
      <w:pPr>
        <w:autoSpaceDE w:val="0"/>
        <w:autoSpaceDN w:val="0"/>
        <w:adjustRightInd w:val="0"/>
        <w:ind w:left="1080" w:right="1170"/>
        <w:jc w:val="both"/>
        <w:rPr>
          <w:sz w:val="24"/>
          <w:szCs w:val="24"/>
        </w:rPr>
      </w:pPr>
    </w:p>
    <w:p w:rsidR="003220B9" w:rsidRDefault="003220B9" w:rsidP="003220B9">
      <w:pPr>
        <w:autoSpaceDE w:val="0"/>
        <w:autoSpaceDN w:val="0"/>
        <w:adjustRightInd w:val="0"/>
        <w:ind w:left="1080" w:right="1170"/>
        <w:jc w:val="both"/>
        <w:rPr>
          <w:sz w:val="24"/>
          <w:szCs w:val="24"/>
        </w:rPr>
      </w:pPr>
      <w:r w:rsidRPr="003220B9">
        <w:rPr>
          <w:sz w:val="24"/>
          <w:szCs w:val="24"/>
        </w:rPr>
        <w:lastRenderedPageBreak/>
        <w:t xml:space="preserve">On the disclosure, the </w:t>
      </w:r>
      <w:proofErr w:type="gramStart"/>
      <w:r w:rsidRPr="003220B9">
        <w:rPr>
          <w:sz w:val="24"/>
          <w:szCs w:val="24"/>
        </w:rPr>
        <w:t>name of the broker/mortgage loan originator and the</w:t>
      </w:r>
      <w:r w:rsidR="00B11EC5">
        <w:rPr>
          <w:sz w:val="24"/>
          <w:szCs w:val="24"/>
        </w:rPr>
        <w:t>ir</w:t>
      </w:r>
      <w:r w:rsidRPr="003220B9">
        <w:rPr>
          <w:sz w:val="24"/>
          <w:szCs w:val="24"/>
        </w:rPr>
        <w:t xml:space="preserve"> relevant address</w:t>
      </w:r>
      <w:r w:rsidR="00B11EC5">
        <w:rPr>
          <w:sz w:val="24"/>
          <w:szCs w:val="24"/>
        </w:rPr>
        <w:t xml:space="preserve"> as well as the current address of the borrower are</w:t>
      </w:r>
      <w:proofErr w:type="gramEnd"/>
      <w:r w:rsidR="00B11EC5" w:rsidRPr="003220B9">
        <w:rPr>
          <w:sz w:val="24"/>
          <w:szCs w:val="24"/>
        </w:rPr>
        <w:t xml:space="preserve"> </w:t>
      </w:r>
      <w:r w:rsidRPr="003220B9">
        <w:rPr>
          <w:sz w:val="24"/>
          <w:szCs w:val="24"/>
        </w:rPr>
        <w:t xml:space="preserve">listed. The property address is also </w:t>
      </w:r>
      <w:r w:rsidR="00B11EC5">
        <w:rPr>
          <w:sz w:val="24"/>
          <w:szCs w:val="24"/>
        </w:rPr>
        <w:t>shown</w:t>
      </w:r>
      <w:r w:rsidRPr="003220B9">
        <w:rPr>
          <w:sz w:val="24"/>
          <w:szCs w:val="24"/>
        </w:rPr>
        <w:t>.</w:t>
      </w:r>
    </w:p>
    <w:p w:rsidR="003220B9" w:rsidRDefault="003220B9" w:rsidP="003220B9">
      <w:pPr>
        <w:autoSpaceDE w:val="0"/>
        <w:autoSpaceDN w:val="0"/>
        <w:adjustRightInd w:val="0"/>
        <w:ind w:left="1080" w:right="1170"/>
        <w:jc w:val="both"/>
        <w:rPr>
          <w:sz w:val="24"/>
          <w:szCs w:val="24"/>
        </w:rPr>
      </w:pPr>
    </w:p>
    <w:p w:rsidR="003220B9" w:rsidRDefault="003220B9" w:rsidP="003220B9">
      <w:pPr>
        <w:autoSpaceDE w:val="0"/>
        <w:autoSpaceDN w:val="0"/>
        <w:adjustRightInd w:val="0"/>
        <w:ind w:left="1080" w:right="1170"/>
        <w:jc w:val="both"/>
        <w:rPr>
          <w:sz w:val="24"/>
          <w:szCs w:val="24"/>
        </w:rPr>
      </w:pPr>
      <w:r w:rsidRPr="003220B9">
        <w:rPr>
          <w:noProof/>
          <w:sz w:val="24"/>
          <w:szCs w:val="24"/>
        </w:rPr>
        <w:drawing>
          <wp:inline distT="0" distB="0" distL="0" distR="0">
            <wp:extent cx="6010275" cy="3643630"/>
            <wp:effectExtent l="19050" t="0" r="9525" b="0"/>
            <wp:docPr id="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srcRect l="7500" t="20000" r="17500" b="12000"/>
                    <a:stretch>
                      <a:fillRect/>
                    </a:stretch>
                  </pic:blipFill>
                  <pic:spPr bwMode="auto">
                    <a:xfrm>
                      <a:off x="0" y="0"/>
                      <a:ext cx="6010275" cy="3643630"/>
                    </a:xfrm>
                    <a:prstGeom prst="rect">
                      <a:avLst/>
                    </a:prstGeom>
                    <a:noFill/>
                    <a:ln w="9525">
                      <a:noFill/>
                      <a:miter lim="800000"/>
                      <a:headEnd/>
                      <a:tailEnd/>
                    </a:ln>
                    <a:effectLst/>
                  </pic:spPr>
                </pic:pic>
              </a:graphicData>
            </a:graphic>
          </wp:inline>
        </w:drawing>
      </w:r>
    </w:p>
    <w:p w:rsidR="003220B9" w:rsidRDefault="003220B9" w:rsidP="003220B9">
      <w:pPr>
        <w:autoSpaceDE w:val="0"/>
        <w:autoSpaceDN w:val="0"/>
        <w:adjustRightInd w:val="0"/>
        <w:ind w:left="1080" w:right="1170"/>
        <w:jc w:val="both"/>
        <w:rPr>
          <w:sz w:val="24"/>
          <w:szCs w:val="24"/>
        </w:rPr>
      </w:pPr>
    </w:p>
    <w:p w:rsidR="003220B9" w:rsidRDefault="003220B9" w:rsidP="003220B9">
      <w:pPr>
        <w:autoSpaceDE w:val="0"/>
        <w:autoSpaceDN w:val="0"/>
        <w:adjustRightInd w:val="0"/>
        <w:ind w:left="1080" w:right="1170"/>
        <w:jc w:val="both"/>
        <w:rPr>
          <w:sz w:val="24"/>
          <w:szCs w:val="24"/>
        </w:rPr>
      </w:pPr>
    </w:p>
    <w:p w:rsidR="003220B9" w:rsidRDefault="003220B9" w:rsidP="005212C7">
      <w:pPr>
        <w:pStyle w:val="ListParagraph"/>
        <w:numPr>
          <w:ilvl w:val="0"/>
          <w:numId w:val="31"/>
        </w:numPr>
        <w:autoSpaceDE w:val="0"/>
        <w:autoSpaceDN w:val="0"/>
        <w:adjustRightInd w:val="0"/>
        <w:ind w:right="1170"/>
        <w:jc w:val="both"/>
        <w:rPr>
          <w:sz w:val="24"/>
          <w:szCs w:val="24"/>
        </w:rPr>
      </w:pPr>
      <w:r w:rsidRPr="003220B9">
        <w:rPr>
          <w:b/>
          <w:sz w:val="24"/>
          <w:szCs w:val="24"/>
        </w:rPr>
        <w:t>Mortgage need not be completed</w:t>
      </w:r>
      <w:r w:rsidRPr="003220B9">
        <w:rPr>
          <w:sz w:val="24"/>
          <w:szCs w:val="24"/>
        </w:rPr>
        <w:t xml:space="preserve">.  </w:t>
      </w:r>
      <w:r w:rsidRPr="00032DF5">
        <w:rPr>
          <w:i/>
          <w:sz w:val="24"/>
          <w:szCs w:val="24"/>
        </w:rPr>
        <w:t xml:space="preserve">"You are not required to complete this agreement merely because you have received these disclosures or have signed a loan application. </w:t>
      </w:r>
      <w:r w:rsidR="00032DF5" w:rsidRPr="00032DF5">
        <w:rPr>
          <w:i/>
          <w:sz w:val="24"/>
          <w:szCs w:val="24"/>
        </w:rPr>
        <w:t>“</w:t>
      </w:r>
      <w:r w:rsidRPr="003220B9">
        <w:rPr>
          <w:sz w:val="24"/>
          <w:szCs w:val="24"/>
        </w:rPr>
        <w:t xml:space="preserve">   This clause is here to remind the borrowers that “IT IS NOT TOO LATE TO BACK OUT” and that they should not let other parties mislead them into going through with a loan with exorbitant terms simply because the loan application was submitted.  (As you </w:t>
      </w:r>
      <w:r w:rsidR="00B11EC5">
        <w:rPr>
          <w:sz w:val="24"/>
          <w:szCs w:val="24"/>
        </w:rPr>
        <w:t>may</w:t>
      </w:r>
      <w:r w:rsidR="00B11EC5" w:rsidRPr="003220B9">
        <w:rPr>
          <w:sz w:val="24"/>
          <w:szCs w:val="24"/>
        </w:rPr>
        <w:t xml:space="preserve"> </w:t>
      </w:r>
      <w:r w:rsidRPr="003220B9">
        <w:rPr>
          <w:sz w:val="24"/>
          <w:szCs w:val="24"/>
        </w:rPr>
        <w:t xml:space="preserve">have noticed, MDIA has requested </w:t>
      </w:r>
      <w:r w:rsidR="00B11EC5">
        <w:rPr>
          <w:sz w:val="24"/>
          <w:szCs w:val="24"/>
        </w:rPr>
        <w:t>the addition of</w:t>
      </w:r>
      <w:r w:rsidRPr="003220B9">
        <w:rPr>
          <w:sz w:val="24"/>
          <w:szCs w:val="24"/>
        </w:rPr>
        <w:t xml:space="preserve"> a </w:t>
      </w:r>
      <w:r w:rsidR="00B11EC5">
        <w:rPr>
          <w:sz w:val="24"/>
          <w:szCs w:val="24"/>
        </w:rPr>
        <w:t xml:space="preserve">similar </w:t>
      </w:r>
      <w:r w:rsidRPr="003220B9">
        <w:rPr>
          <w:sz w:val="24"/>
          <w:szCs w:val="24"/>
        </w:rPr>
        <w:t xml:space="preserve">statement to </w:t>
      </w:r>
      <w:r w:rsidR="00B11EC5">
        <w:rPr>
          <w:sz w:val="24"/>
          <w:szCs w:val="24"/>
        </w:rPr>
        <w:t xml:space="preserve">the </w:t>
      </w:r>
      <w:r w:rsidRPr="003220B9">
        <w:rPr>
          <w:sz w:val="24"/>
          <w:szCs w:val="24"/>
        </w:rPr>
        <w:t>TILA Disclosure Statement).</w:t>
      </w:r>
    </w:p>
    <w:p w:rsidR="003220B9" w:rsidRPr="003220B9" w:rsidRDefault="003220B9" w:rsidP="003220B9">
      <w:pPr>
        <w:pStyle w:val="ListParagraph"/>
        <w:autoSpaceDE w:val="0"/>
        <w:autoSpaceDN w:val="0"/>
        <w:adjustRightInd w:val="0"/>
        <w:ind w:left="1800" w:right="1170"/>
        <w:jc w:val="both"/>
        <w:rPr>
          <w:sz w:val="24"/>
          <w:szCs w:val="24"/>
        </w:rPr>
      </w:pPr>
    </w:p>
    <w:p w:rsidR="003220B9" w:rsidRDefault="003220B9" w:rsidP="005212C7">
      <w:pPr>
        <w:pStyle w:val="ListParagraph"/>
        <w:numPr>
          <w:ilvl w:val="0"/>
          <w:numId w:val="31"/>
        </w:numPr>
        <w:autoSpaceDE w:val="0"/>
        <w:autoSpaceDN w:val="0"/>
        <w:adjustRightInd w:val="0"/>
        <w:ind w:right="1170"/>
        <w:jc w:val="both"/>
        <w:rPr>
          <w:sz w:val="24"/>
          <w:szCs w:val="24"/>
        </w:rPr>
      </w:pPr>
      <w:r w:rsidRPr="00032DF5">
        <w:rPr>
          <w:b/>
          <w:sz w:val="24"/>
          <w:szCs w:val="24"/>
        </w:rPr>
        <w:t>You might lose your home</w:t>
      </w:r>
      <w:r w:rsidRPr="003220B9">
        <w:rPr>
          <w:sz w:val="24"/>
          <w:szCs w:val="24"/>
        </w:rPr>
        <w:t xml:space="preserve">.  </w:t>
      </w:r>
      <w:r w:rsidRPr="00032DF5">
        <w:rPr>
          <w:i/>
          <w:sz w:val="24"/>
          <w:szCs w:val="24"/>
        </w:rPr>
        <w:t xml:space="preserve">“If you obtain this loan the lender will have a mortgage on your home. You could lose your home and any money you have put into it if you do not meet your obligations under </w:t>
      </w:r>
      <w:r w:rsidR="00B11EC5">
        <w:rPr>
          <w:i/>
          <w:sz w:val="24"/>
          <w:szCs w:val="24"/>
        </w:rPr>
        <w:t>the</w:t>
      </w:r>
      <w:r w:rsidR="00B11EC5" w:rsidRPr="00032DF5">
        <w:rPr>
          <w:i/>
          <w:sz w:val="24"/>
          <w:szCs w:val="24"/>
        </w:rPr>
        <w:t xml:space="preserve"> </w:t>
      </w:r>
      <w:r w:rsidRPr="00032DF5">
        <w:rPr>
          <w:i/>
          <w:sz w:val="24"/>
          <w:szCs w:val="24"/>
        </w:rPr>
        <w:t>loan.”</w:t>
      </w:r>
      <w:r w:rsidRPr="003220B9">
        <w:rPr>
          <w:sz w:val="24"/>
          <w:szCs w:val="24"/>
        </w:rPr>
        <w:t xml:space="preserve">  This clause reminds borrowers of the potential dire consequences of signing on loans they </w:t>
      </w:r>
      <w:r w:rsidR="00B11EC5">
        <w:rPr>
          <w:sz w:val="24"/>
          <w:szCs w:val="24"/>
        </w:rPr>
        <w:t>cannot</w:t>
      </w:r>
      <w:r w:rsidR="00B11EC5" w:rsidRPr="003220B9">
        <w:rPr>
          <w:sz w:val="24"/>
          <w:szCs w:val="24"/>
        </w:rPr>
        <w:t xml:space="preserve"> </w:t>
      </w:r>
      <w:r w:rsidRPr="003220B9">
        <w:rPr>
          <w:sz w:val="24"/>
          <w:szCs w:val="24"/>
        </w:rPr>
        <w:t>afford — if they default, or fail to make mortgage payments, they will lose their homes as well as their initial investments.  The government wants to make sure that borrowers understand the downside.</w:t>
      </w:r>
    </w:p>
    <w:p w:rsidR="003220B9" w:rsidRPr="003220B9" w:rsidRDefault="003220B9" w:rsidP="003220B9">
      <w:pPr>
        <w:pStyle w:val="ListParagraph"/>
        <w:rPr>
          <w:sz w:val="24"/>
          <w:szCs w:val="24"/>
        </w:rPr>
      </w:pPr>
    </w:p>
    <w:p w:rsidR="003220B9" w:rsidRPr="003220B9" w:rsidRDefault="003220B9" w:rsidP="003220B9">
      <w:pPr>
        <w:pStyle w:val="ListParagraph"/>
        <w:autoSpaceDE w:val="0"/>
        <w:autoSpaceDN w:val="0"/>
        <w:adjustRightInd w:val="0"/>
        <w:ind w:left="1800" w:right="1170"/>
        <w:jc w:val="both"/>
        <w:rPr>
          <w:sz w:val="24"/>
          <w:szCs w:val="24"/>
        </w:rPr>
      </w:pPr>
    </w:p>
    <w:p w:rsidR="003220B9" w:rsidRDefault="003220B9" w:rsidP="005212C7">
      <w:pPr>
        <w:pStyle w:val="ListParagraph"/>
        <w:numPr>
          <w:ilvl w:val="0"/>
          <w:numId w:val="31"/>
        </w:numPr>
        <w:autoSpaceDE w:val="0"/>
        <w:autoSpaceDN w:val="0"/>
        <w:adjustRightInd w:val="0"/>
        <w:ind w:right="1170"/>
        <w:jc w:val="both"/>
        <w:rPr>
          <w:sz w:val="24"/>
          <w:szCs w:val="24"/>
        </w:rPr>
      </w:pPr>
      <w:r w:rsidRPr="00032DF5">
        <w:rPr>
          <w:b/>
          <w:sz w:val="24"/>
          <w:szCs w:val="24"/>
        </w:rPr>
        <w:lastRenderedPageBreak/>
        <w:t>APR</w:t>
      </w:r>
      <w:r w:rsidRPr="003220B9">
        <w:rPr>
          <w:sz w:val="24"/>
          <w:szCs w:val="24"/>
        </w:rPr>
        <w:t xml:space="preserve">. </w:t>
      </w:r>
      <w:r w:rsidRPr="00032DF5">
        <w:rPr>
          <w:i/>
          <w:sz w:val="24"/>
          <w:szCs w:val="24"/>
        </w:rPr>
        <w:t>“The Annual Percentage Rate on your loan will be 9.603%."</w:t>
      </w:r>
      <w:r w:rsidRPr="003220B9">
        <w:rPr>
          <w:sz w:val="24"/>
          <w:szCs w:val="24"/>
        </w:rPr>
        <w:t xml:space="preserve"> Again, like the TILA Disclosure Statement, this disclosure also states the APR, which highlights other charges besides the note rate.</w:t>
      </w:r>
    </w:p>
    <w:p w:rsidR="003220B9" w:rsidRPr="003220B9" w:rsidRDefault="003220B9" w:rsidP="003220B9">
      <w:pPr>
        <w:pStyle w:val="ListParagraph"/>
        <w:autoSpaceDE w:val="0"/>
        <w:autoSpaceDN w:val="0"/>
        <w:adjustRightInd w:val="0"/>
        <w:ind w:left="1800" w:right="1170"/>
        <w:jc w:val="both"/>
        <w:rPr>
          <w:sz w:val="24"/>
          <w:szCs w:val="24"/>
        </w:rPr>
      </w:pPr>
    </w:p>
    <w:p w:rsidR="003220B9" w:rsidRDefault="003220B9" w:rsidP="005212C7">
      <w:pPr>
        <w:pStyle w:val="ListParagraph"/>
        <w:numPr>
          <w:ilvl w:val="0"/>
          <w:numId w:val="31"/>
        </w:numPr>
        <w:autoSpaceDE w:val="0"/>
        <w:autoSpaceDN w:val="0"/>
        <w:adjustRightInd w:val="0"/>
        <w:ind w:right="1170"/>
        <w:jc w:val="both"/>
        <w:rPr>
          <w:sz w:val="24"/>
          <w:szCs w:val="24"/>
        </w:rPr>
      </w:pPr>
      <w:r w:rsidRPr="00032DF5">
        <w:rPr>
          <w:b/>
          <w:sz w:val="24"/>
          <w:szCs w:val="24"/>
        </w:rPr>
        <w:t>Mortgage Payment</w:t>
      </w:r>
      <w:r w:rsidRPr="003220B9">
        <w:rPr>
          <w:sz w:val="24"/>
          <w:szCs w:val="24"/>
        </w:rPr>
        <w:t xml:space="preserve">.  Again, similar to </w:t>
      </w:r>
      <w:r w:rsidR="00400916">
        <w:rPr>
          <w:sz w:val="24"/>
          <w:szCs w:val="24"/>
        </w:rPr>
        <w:t xml:space="preserve">the </w:t>
      </w:r>
      <w:r w:rsidRPr="003220B9">
        <w:rPr>
          <w:sz w:val="24"/>
          <w:szCs w:val="24"/>
        </w:rPr>
        <w:t>TILA Disclosure Statement</w:t>
      </w:r>
      <w:r w:rsidR="00B11EC5">
        <w:rPr>
          <w:sz w:val="24"/>
          <w:szCs w:val="24"/>
        </w:rPr>
        <w:t>,</w:t>
      </w:r>
      <w:r w:rsidRPr="003220B9">
        <w:rPr>
          <w:sz w:val="24"/>
          <w:szCs w:val="24"/>
        </w:rPr>
        <w:t xml:space="preserve"> the monthly mortgage payment and the original loan amount of $95,000</w:t>
      </w:r>
      <w:r w:rsidR="00B11EC5">
        <w:rPr>
          <w:sz w:val="24"/>
          <w:szCs w:val="24"/>
        </w:rPr>
        <w:t xml:space="preserve"> are shown</w:t>
      </w:r>
      <w:r w:rsidRPr="003220B9">
        <w:rPr>
          <w:sz w:val="24"/>
          <w:szCs w:val="24"/>
        </w:rPr>
        <w:t>.</w:t>
      </w:r>
    </w:p>
    <w:p w:rsidR="003220B9" w:rsidRPr="003220B9" w:rsidRDefault="003220B9" w:rsidP="003220B9">
      <w:pPr>
        <w:pStyle w:val="ListParagraph"/>
        <w:rPr>
          <w:sz w:val="24"/>
          <w:szCs w:val="24"/>
        </w:rPr>
      </w:pPr>
    </w:p>
    <w:p w:rsidR="003220B9" w:rsidRDefault="003220B9" w:rsidP="005212C7">
      <w:pPr>
        <w:pStyle w:val="ListParagraph"/>
        <w:numPr>
          <w:ilvl w:val="0"/>
          <w:numId w:val="31"/>
        </w:numPr>
        <w:autoSpaceDE w:val="0"/>
        <w:autoSpaceDN w:val="0"/>
        <w:adjustRightInd w:val="0"/>
        <w:ind w:right="1170"/>
        <w:jc w:val="both"/>
        <w:rPr>
          <w:sz w:val="24"/>
          <w:szCs w:val="24"/>
        </w:rPr>
      </w:pPr>
      <w:r w:rsidRPr="00032DF5">
        <w:rPr>
          <w:b/>
          <w:sz w:val="24"/>
          <w:szCs w:val="24"/>
        </w:rPr>
        <w:t>Balloon</w:t>
      </w:r>
      <w:r w:rsidRPr="003220B9">
        <w:rPr>
          <w:sz w:val="24"/>
          <w:szCs w:val="24"/>
        </w:rPr>
        <w:t>.  “</w:t>
      </w:r>
      <w:r w:rsidRPr="00032DF5">
        <w:rPr>
          <w:i/>
          <w:sz w:val="24"/>
          <w:szCs w:val="24"/>
        </w:rPr>
        <w:t xml:space="preserve">At the end of your loan, you will </w:t>
      </w:r>
      <w:r w:rsidR="00B11EC5">
        <w:rPr>
          <w:i/>
          <w:sz w:val="24"/>
          <w:szCs w:val="24"/>
        </w:rPr>
        <w:t xml:space="preserve">still </w:t>
      </w:r>
      <w:r w:rsidRPr="00032DF5">
        <w:rPr>
          <w:i/>
          <w:sz w:val="24"/>
          <w:szCs w:val="24"/>
        </w:rPr>
        <w:t>owe us: $.”</w:t>
      </w:r>
      <w:r w:rsidRPr="003220B9">
        <w:rPr>
          <w:sz w:val="24"/>
          <w:szCs w:val="24"/>
        </w:rPr>
        <w:t xml:space="preserve">  </w:t>
      </w:r>
      <w:r w:rsidR="00B11EC5">
        <w:rPr>
          <w:sz w:val="24"/>
          <w:szCs w:val="24"/>
        </w:rPr>
        <w:t>The objective of this clause is to disclose the existence of</w:t>
      </w:r>
      <w:r w:rsidRPr="003220B9">
        <w:rPr>
          <w:sz w:val="24"/>
          <w:szCs w:val="24"/>
        </w:rPr>
        <w:t xml:space="preserve"> a balloon payment on the loan if </w:t>
      </w:r>
      <w:r w:rsidR="00B11EC5">
        <w:rPr>
          <w:sz w:val="24"/>
          <w:szCs w:val="24"/>
        </w:rPr>
        <w:t>applicable</w:t>
      </w:r>
      <w:r w:rsidRPr="003220B9">
        <w:rPr>
          <w:sz w:val="24"/>
          <w:szCs w:val="24"/>
        </w:rPr>
        <w:t xml:space="preserve">.  Remember that Section 32 imposes restrictions on the amount of the balloon payment and that no balloon is allowed for loans with </w:t>
      </w:r>
      <w:r w:rsidR="00B11EC5">
        <w:rPr>
          <w:sz w:val="24"/>
          <w:szCs w:val="24"/>
        </w:rPr>
        <w:t xml:space="preserve">a </w:t>
      </w:r>
      <w:r w:rsidRPr="003220B9">
        <w:rPr>
          <w:sz w:val="24"/>
          <w:szCs w:val="24"/>
        </w:rPr>
        <w:t xml:space="preserve">maturity </w:t>
      </w:r>
      <w:r w:rsidR="00B11EC5">
        <w:rPr>
          <w:sz w:val="24"/>
          <w:szCs w:val="24"/>
        </w:rPr>
        <w:t xml:space="preserve">of </w:t>
      </w:r>
      <w:r w:rsidRPr="003220B9">
        <w:rPr>
          <w:sz w:val="24"/>
          <w:szCs w:val="24"/>
        </w:rPr>
        <w:t>less than 5 years.</w:t>
      </w:r>
    </w:p>
    <w:p w:rsidR="003220B9" w:rsidRPr="003220B9" w:rsidRDefault="003220B9" w:rsidP="003220B9">
      <w:pPr>
        <w:pStyle w:val="ListParagraph"/>
        <w:autoSpaceDE w:val="0"/>
        <w:autoSpaceDN w:val="0"/>
        <w:adjustRightInd w:val="0"/>
        <w:ind w:left="1800" w:right="1170"/>
        <w:jc w:val="both"/>
        <w:rPr>
          <w:sz w:val="24"/>
          <w:szCs w:val="24"/>
        </w:rPr>
      </w:pPr>
    </w:p>
    <w:p w:rsidR="003220B9" w:rsidRDefault="003220B9" w:rsidP="005212C7">
      <w:pPr>
        <w:pStyle w:val="ListParagraph"/>
        <w:numPr>
          <w:ilvl w:val="0"/>
          <w:numId w:val="31"/>
        </w:numPr>
        <w:autoSpaceDE w:val="0"/>
        <w:autoSpaceDN w:val="0"/>
        <w:adjustRightInd w:val="0"/>
        <w:ind w:right="1170"/>
        <w:jc w:val="both"/>
        <w:rPr>
          <w:sz w:val="24"/>
          <w:szCs w:val="24"/>
        </w:rPr>
      </w:pPr>
      <w:r w:rsidRPr="00032DF5">
        <w:rPr>
          <w:b/>
          <w:sz w:val="24"/>
          <w:szCs w:val="24"/>
        </w:rPr>
        <w:t>ARM</w:t>
      </w:r>
      <w:r w:rsidRPr="003220B9">
        <w:rPr>
          <w:sz w:val="24"/>
          <w:szCs w:val="24"/>
        </w:rPr>
        <w:t xml:space="preserve">.  </w:t>
      </w:r>
      <w:r w:rsidRPr="00032DF5">
        <w:rPr>
          <w:i/>
          <w:sz w:val="24"/>
          <w:szCs w:val="24"/>
        </w:rPr>
        <w:t>“Your interest rate may increase.  Increases in the interest rate could increase your payment.  The highest amount your payment could increase to is</w:t>
      </w:r>
      <w:r w:rsidR="00400916">
        <w:rPr>
          <w:i/>
          <w:sz w:val="24"/>
          <w:szCs w:val="24"/>
        </w:rPr>
        <w:t>…</w:t>
      </w:r>
      <w:r w:rsidRPr="00032DF5">
        <w:rPr>
          <w:i/>
          <w:sz w:val="24"/>
          <w:szCs w:val="24"/>
        </w:rPr>
        <w:t>”</w:t>
      </w:r>
      <w:r w:rsidRPr="003220B9">
        <w:rPr>
          <w:sz w:val="24"/>
          <w:szCs w:val="24"/>
        </w:rPr>
        <w:t xml:space="preserve"> If the loan is an </w:t>
      </w:r>
      <w:r w:rsidR="00B11EC5" w:rsidRPr="003220B9">
        <w:rPr>
          <w:sz w:val="24"/>
          <w:szCs w:val="24"/>
        </w:rPr>
        <w:t>adjustable</w:t>
      </w:r>
      <w:r w:rsidR="00B11EC5">
        <w:rPr>
          <w:sz w:val="24"/>
          <w:szCs w:val="24"/>
        </w:rPr>
        <w:t>-</w:t>
      </w:r>
      <w:r w:rsidRPr="003220B9">
        <w:rPr>
          <w:sz w:val="24"/>
          <w:szCs w:val="24"/>
        </w:rPr>
        <w:t>rate mortgage, then there should be a cap that restricts the maximum interest payment of the loan through</w:t>
      </w:r>
      <w:r w:rsidR="00B11EC5">
        <w:rPr>
          <w:sz w:val="24"/>
          <w:szCs w:val="24"/>
        </w:rPr>
        <w:t>out</w:t>
      </w:r>
      <w:r w:rsidRPr="003220B9">
        <w:rPr>
          <w:sz w:val="24"/>
          <w:szCs w:val="24"/>
        </w:rPr>
        <w:t xml:space="preserve"> the life of the loan.  This clause aims </w:t>
      </w:r>
      <w:r w:rsidR="00B11EC5">
        <w:rPr>
          <w:sz w:val="24"/>
          <w:szCs w:val="24"/>
        </w:rPr>
        <w:t>to</w:t>
      </w:r>
      <w:r w:rsidR="00B11EC5" w:rsidRPr="003220B9">
        <w:rPr>
          <w:sz w:val="24"/>
          <w:szCs w:val="24"/>
        </w:rPr>
        <w:t xml:space="preserve"> </w:t>
      </w:r>
      <w:r w:rsidRPr="003220B9">
        <w:rPr>
          <w:sz w:val="24"/>
          <w:szCs w:val="24"/>
        </w:rPr>
        <w:t xml:space="preserve">directly </w:t>
      </w:r>
      <w:r w:rsidR="00B11EC5">
        <w:rPr>
          <w:sz w:val="24"/>
          <w:szCs w:val="24"/>
        </w:rPr>
        <w:t>spell out</w:t>
      </w:r>
      <w:r w:rsidR="00B11EC5" w:rsidRPr="003220B9">
        <w:rPr>
          <w:sz w:val="24"/>
          <w:szCs w:val="24"/>
        </w:rPr>
        <w:t xml:space="preserve"> </w:t>
      </w:r>
      <w:r w:rsidRPr="003220B9">
        <w:rPr>
          <w:sz w:val="24"/>
          <w:szCs w:val="24"/>
        </w:rPr>
        <w:t xml:space="preserve">to the borrower the meaning of the interest rate payment cap in concrete dollar terms.  This dollar amount gives the borrower a more concrete idea of the potential interest rate risk. </w:t>
      </w:r>
    </w:p>
    <w:p w:rsidR="003220B9" w:rsidRPr="003220B9" w:rsidRDefault="003220B9" w:rsidP="003220B9">
      <w:pPr>
        <w:pStyle w:val="ListParagraph"/>
        <w:rPr>
          <w:sz w:val="24"/>
          <w:szCs w:val="24"/>
        </w:rPr>
      </w:pPr>
    </w:p>
    <w:p w:rsidR="003220B9" w:rsidRPr="003220B9" w:rsidRDefault="003220B9" w:rsidP="003220B9">
      <w:pPr>
        <w:pStyle w:val="ListParagraph"/>
        <w:autoSpaceDE w:val="0"/>
        <w:autoSpaceDN w:val="0"/>
        <w:adjustRightInd w:val="0"/>
        <w:ind w:left="1800" w:right="1170"/>
        <w:jc w:val="both"/>
        <w:rPr>
          <w:sz w:val="24"/>
          <w:szCs w:val="24"/>
        </w:rPr>
      </w:pPr>
    </w:p>
    <w:p w:rsidR="003220B9" w:rsidRPr="00032DF5" w:rsidRDefault="003220B9" w:rsidP="00032DF5">
      <w:pPr>
        <w:autoSpaceDE w:val="0"/>
        <w:autoSpaceDN w:val="0"/>
        <w:adjustRightInd w:val="0"/>
        <w:ind w:left="1080" w:right="1170"/>
        <w:jc w:val="both"/>
        <w:rPr>
          <w:sz w:val="24"/>
          <w:szCs w:val="24"/>
        </w:rPr>
      </w:pPr>
      <w:r w:rsidRPr="00032DF5">
        <w:rPr>
          <w:sz w:val="24"/>
          <w:szCs w:val="24"/>
        </w:rPr>
        <w:t>Be sure that the borrower signs the disclosure and returns it to the MLO.</w:t>
      </w:r>
    </w:p>
    <w:p w:rsidR="003220B9" w:rsidRPr="003220B9" w:rsidRDefault="003220B9" w:rsidP="00032DF5">
      <w:pPr>
        <w:pStyle w:val="ListParagraph"/>
        <w:autoSpaceDE w:val="0"/>
        <w:autoSpaceDN w:val="0"/>
        <w:adjustRightInd w:val="0"/>
        <w:ind w:left="1800" w:right="1170"/>
        <w:jc w:val="both"/>
        <w:rPr>
          <w:sz w:val="24"/>
          <w:szCs w:val="24"/>
        </w:rPr>
      </w:pPr>
    </w:p>
    <w:p w:rsidR="003220B9" w:rsidRPr="00032DF5" w:rsidRDefault="003220B9" w:rsidP="00032DF5">
      <w:pPr>
        <w:autoSpaceDE w:val="0"/>
        <w:autoSpaceDN w:val="0"/>
        <w:adjustRightInd w:val="0"/>
        <w:ind w:left="1080" w:right="1170"/>
        <w:jc w:val="both"/>
        <w:rPr>
          <w:sz w:val="24"/>
          <w:szCs w:val="24"/>
        </w:rPr>
      </w:pPr>
      <w:r w:rsidRPr="00032DF5">
        <w:rPr>
          <w:sz w:val="24"/>
          <w:szCs w:val="24"/>
        </w:rPr>
        <w:t xml:space="preserve">Remember that whatever disclosure shown in Section 32 Mortgages Disclosure is in addition to the standard required disclosures of RESPA and TILA.  </w:t>
      </w:r>
    </w:p>
    <w:p w:rsidR="003220B9" w:rsidRPr="003220B9" w:rsidRDefault="003220B9" w:rsidP="00032DF5">
      <w:pPr>
        <w:pStyle w:val="ListParagraph"/>
        <w:rPr>
          <w:sz w:val="24"/>
          <w:szCs w:val="24"/>
        </w:rPr>
      </w:pPr>
    </w:p>
    <w:p w:rsidR="003220B9" w:rsidRPr="00032DF5" w:rsidRDefault="003220B9" w:rsidP="00032DF5">
      <w:pPr>
        <w:autoSpaceDE w:val="0"/>
        <w:autoSpaceDN w:val="0"/>
        <w:adjustRightInd w:val="0"/>
        <w:ind w:left="1080" w:right="1170"/>
        <w:jc w:val="both"/>
        <w:rPr>
          <w:sz w:val="24"/>
          <w:szCs w:val="24"/>
        </w:rPr>
      </w:pPr>
      <w:r w:rsidRPr="00032DF5">
        <w:rPr>
          <w:sz w:val="24"/>
          <w:szCs w:val="24"/>
        </w:rPr>
        <w:t xml:space="preserve">Knowledgeable mortgage loan originators should know upfront whether a loan is a </w:t>
      </w:r>
      <w:r w:rsidR="00B11EC5" w:rsidRPr="00032DF5">
        <w:rPr>
          <w:sz w:val="24"/>
          <w:szCs w:val="24"/>
        </w:rPr>
        <w:t>High</w:t>
      </w:r>
      <w:r w:rsidR="00B11EC5">
        <w:rPr>
          <w:sz w:val="24"/>
          <w:szCs w:val="24"/>
        </w:rPr>
        <w:t>-</w:t>
      </w:r>
      <w:r w:rsidRPr="00032DF5">
        <w:rPr>
          <w:sz w:val="24"/>
          <w:szCs w:val="24"/>
        </w:rPr>
        <w:t xml:space="preserve">Cost Mortgage or not.  If the loan is a </w:t>
      </w:r>
      <w:r w:rsidR="00B11EC5" w:rsidRPr="00032DF5">
        <w:rPr>
          <w:sz w:val="24"/>
          <w:szCs w:val="24"/>
        </w:rPr>
        <w:t>High</w:t>
      </w:r>
      <w:r w:rsidR="00B11EC5">
        <w:rPr>
          <w:sz w:val="24"/>
          <w:szCs w:val="24"/>
        </w:rPr>
        <w:t>-</w:t>
      </w:r>
      <w:r w:rsidRPr="00032DF5">
        <w:rPr>
          <w:sz w:val="24"/>
          <w:szCs w:val="24"/>
        </w:rPr>
        <w:t xml:space="preserve">Cost Mortgage, deliver the disclosure sooner rather than later.  The law stipulates that the lender provide such disclosure to the borrower at least </w:t>
      </w:r>
      <w:r w:rsidRPr="00FB4E19">
        <w:rPr>
          <w:b/>
          <w:sz w:val="24"/>
          <w:szCs w:val="24"/>
        </w:rPr>
        <w:t>3 business days before closing.</w:t>
      </w:r>
      <w:r w:rsidRPr="00032DF5">
        <w:rPr>
          <w:sz w:val="24"/>
          <w:szCs w:val="24"/>
        </w:rPr>
        <w:t xml:space="preserve">  Be mindful of this 3 business day waiting period to avoid delays in your closing.</w:t>
      </w:r>
    </w:p>
    <w:sectPr w:rsidR="003220B9" w:rsidRPr="00032DF5" w:rsidSect="00B37857">
      <w:headerReference w:type="default" r:id="rId37"/>
      <w:pgSz w:w="12240" w:h="15840"/>
      <w:pgMar w:top="1440" w:right="720" w:bottom="1440" w:left="72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5F45559" w15:done="0"/>
  <w15:commentEx w15:paraId="697B2CE4"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64F6" w:rsidRDefault="008664F6" w:rsidP="00F13471">
      <w:r>
        <w:separator/>
      </w:r>
    </w:p>
  </w:endnote>
  <w:endnote w:type="continuationSeparator" w:id="0">
    <w:p w:rsidR="008664F6" w:rsidRDefault="008664F6" w:rsidP="00F1347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umnst777 Lt BT">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BB8" w:rsidRDefault="00370EA4" w:rsidP="00F43CA7">
    <w:pPr>
      <w:pStyle w:val="Footer"/>
      <w:tabs>
        <w:tab w:val="clear" w:pos="4680"/>
        <w:tab w:val="clear" w:pos="9360"/>
        <w:tab w:val="center" w:pos="5400"/>
        <w:tab w:val="right" w:pos="10800"/>
      </w:tabs>
      <w:rPr>
        <w:rFonts w:ascii="Humnst777 Lt BT" w:hAnsi="Humnst777 Lt BT"/>
        <w:color w:val="17365D" w:themeColor="text2" w:themeShade="BF"/>
      </w:rPr>
    </w:pPr>
    <w:r>
      <w:rPr>
        <w:rFonts w:ascii="Humnst777 Lt BT" w:hAnsi="Humnst777 Lt BT"/>
        <w:noProof/>
        <w:color w:val="17365D" w:themeColor="text2" w:themeShade="BF"/>
      </w:rPr>
      <w:pict>
        <v:shapetype id="_x0000_t32" coordsize="21600,21600" o:spt="32" o:oned="t" path="m,l21600,21600e" filled="f">
          <v:path arrowok="t" fillok="f" o:connecttype="none"/>
          <o:lock v:ext="edit" shapetype="t"/>
        </v:shapetype>
        <v:shape id="_x0000_s2049" type="#_x0000_t32" style="position:absolute;margin-left:-35.35pt;margin-top:-13.4pt;width:612.3pt;height:0;z-index:251658240" o:connectortype="straight" strokecolor="#17365d" strokeweight="3pt">
          <v:shadow type="perspective" color="#243f60" opacity=".5" offset="1pt" offset2="-1pt"/>
        </v:shape>
      </w:pict>
    </w:r>
    <w:r w:rsidR="00B84BB8" w:rsidRPr="00902744">
      <w:rPr>
        <w:rFonts w:ascii="Arial" w:hAnsi="Arial" w:cs="Arial"/>
        <w:color w:val="17365D" w:themeColor="text2" w:themeShade="BF"/>
        <w:sz w:val="12"/>
        <w:szCs w:val="12"/>
      </w:rPr>
      <w:tab/>
      <w:t xml:space="preserve">© </w:t>
    </w:r>
    <w:r w:rsidR="00B84BB8">
      <w:rPr>
        <w:rFonts w:ascii="Arial" w:hAnsi="Arial" w:cs="Arial"/>
        <w:color w:val="17365D" w:themeColor="text2" w:themeShade="BF"/>
        <w:sz w:val="12"/>
        <w:szCs w:val="12"/>
      </w:rPr>
      <w:t xml:space="preserve">2002-2011 </w:t>
    </w:r>
    <w:r w:rsidR="00B84BB8" w:rsidRPr="00902744">
      <w:rPr>
        <w:rFonts w:ascii="Arial" w:hAnsi="Arial" w:cs="Arial"/>
        <w:color w:val="17365D" w:themeColor="text2" w:themeShade="BF"/>
        <w:sz w:val="12"/>
        <w:szCs w:val="12"/>
      </w:rPr>
      <w:t>MortgageEducation.com</w:t>
    </w:r>
    <w:r w:rsidR="00B84BB8">
      <w:rPr>
        <w:rFonts w:ascii="Arial" w:hAnsi="Arial" w:cs="Arial"/>
        <w:color w:val="17365D" w:themeColor="text2" w:themeShade="BF"/>
        <w:sz w:val="12"/>
        <w:szCs w:val="12"/>
      </w:rPr>
      <w:t xml:space="preserve"> | All Rights Reserved</w:t>
    </w:r>
    <w:r w:rsidR="00B84BB8" w:rsidRPr="006C3F74">
      <w:rPr>
        <w:rFonts w:ascii="Humnst777 Lt BT" w:hAnsi="Humnst777 Lt BT"/>
        <w:color w:val="17365D" w:themeColor="text2" w:themeShade="BF"/>
      </w:rPr>
      <w:t xml:space="preserve"> </w:t>
    </w:r>
    <w:r w:rsidR="00B84BB8" w:rsidRPr="00F51A47">
      <w:rPr>
        <w:rFonts w:ascii="Humnst777 Lt BT" w:hAnsi="Humnst777 Lt BT"/>
      </w:rPr>
      <w:tab/>
      <w:t xml:space="preserve"> </w:t>
    </w:r>
    <w:r w:rsidR="00B84BB8" w:rsidRPr="006C3F74">
      <w:rPr>
        <w:rFonts w:ascii="Humnst777 Lt BT" w:hAnsi="Humnst777 Lt BT"/>
        <w:color w:val="17365D" w:themeColor="text2" w:themeShade="BF"/>
      </w:rPr>
      <w:t xml:space="preserve">- </w:t>
    </w:r>
    <w:r w:rsidRPr="006C3F74">
      <w:rPr>
        <w:rFonts w:ascii="Humnst777 Lt BT" w:hAnsi="Humnst777 Lt BT"/>
        <w:color w:val="17365D" w:themeColor="text2" w:themeShade="BF"/>
      </w:rPr>
      <w:fldChar w:fldCharType="begin"/>
    </w:r>
    <w:r w:rsidR="00B84BB8" w:rsidRPr="006C3F74">
      <w:rPr>
        <w:rFonts w:ascii="Humnst777 Lt BT" w:hAnsi="Humnst777 Lt BT"/>
        <w:color w:val="17365D" w:themeColor="text2" w:themeShade="BF"/>
      </w:rPr>
      <w:instrText xml:space="preserve"> PAGE   \* MERGEFORMAT </w:instrText>
    </w:r>
    <w:r w:rsidRPr="006C3F74">
      <w:rPr>
        <w:rFonts w:ascii="Humnst777 Lt BT" w:hAnsi="Humnst777 Lt BT"/>
        <w:color w:val="17365D" w:themeColor="text2" w:themeShade="BF"/>
      </w:rPr>
      <w:fldChar w:fldCharType="separate"/>
    </w:r>
    <w:r w:rsidR="0097007F">
      <w:rPr>
        <w:rFonts w:ascii="Humnst777 Lt BT" w:hAnsi="Humnst777 Lt BT"/>
        <w:noProof/>
        <w:color w:val="17365D" w:themeColor="text2" w:themeShade="BF"/>
      </w:rPr>
      <w:t>2</w:t>
    </w:r>
    <w:r w:rsidRPr="006C3F74">
      <w:rPr>
        <w:rFonts w:ascii="Humnst777 Lt BT" w:hAnsi="Humnst777 Lt BT"/>
        <w:color w:val="17365D" w:themeColor="text2" w:themeShade="BF"/>
      </w:rPr>
      <w:fldChar w:fldCharType="end"/>
    </w:r>
    <w:r w:rsidR="00B84BB8" w:rsidRPr="006C3F74">
      <w:rPr>
        <w:rFonts w:ascii="Humnst777 Lt BT" w:hAnsi="Humnst777 Lt BT"/>
        <w:color w:val="17365D" w:themeColor="text2" w:themeShade="BF"/>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64F6" w:rsidRDefault="008664F6" w:rsidP="00F13471">
      <w:r>
        <w:separator/>
      </w:r>
    </w:p>
  </w:footnote>
  <w:footnote w:type="continuationSeparator" w:id="0">
    <w:p w:rsidR="008664F6" w:rsidRDefault="008664F6" w:rsidP="00F13471">
      <w:r>
        <w:continuationSeparator/>
      </w:r>
    </w:p>
  </w:footnote>
  <w:footnote w:id="1">
    <w:p w:rsidR="00B84BB8" w:rsidRDefault="00B84BB8">
      <w:pPr>
        <w:pStyle w:val="FootnoteText"/>
      </w:pPr>
      <w:r>
        <w:rPr>
          <w:rStyle w:val="FootnoteReference"/>
        </w:rPr>
        <w:footnoteRef/>
      </w:r>
      <w:r>
        <w:t xml:space="preserve"> </w:t>
      </w:r>
      <w:r w:rsidRPr="00F63060">
        <w:t>TRUTH IN LENDING ACT (TILA) “REG Z” (Part 1026)</w:t>
      </w:r>
    </w:p>
  </w:footnote>
  <w:footnote w:id="2">
    <w:p w:rsidR="00B84BB8" w:rsidRPr="00035A9F" w:rsidRDefault="00B84BB8" w:rsidP="00035A9F">
      <w:pPr>
        <w:pStyle w:val="fp"/>
        <w:shd w:val="clear" w:color="auto" w:fill="FFFFFF"/>
        <w:spacing w:before="200" w:beforeAutospacing="0"/>
        <w:rPr>
          <w:rFonts w:ascii="Arial" w:hAnsi="Arial" w:cs="Arial"/>
          <w:color w:val="000000"/>
          <w:sz w:val="16"/>
          <w:szCs w:val="16"/>
        </w:rPr>
      </w:pPr>
      <w:r>
        <w:rPr>
          <w:rStyle w:val="FootnoteReference"/>
        </w:rPr>
        <w:footnoteRef/>
      </w:r>
      <w:r>
        <w:t xml:space="preserve"> </w:t>
      </w:r>
      <w:r w:rsidRPr="00035A9F">
        <w:rPr>
          <w:rFonts w:ascii="Arial" w:hAnsi="Arial" w:cs="Arial"/>
          <w:color w:val="000000"/>
          <w:sz w:val="16"/>
          <w:szCs w:val="16"/>
        </w:rPr>
        <w:t>Title 12: Banks and Banking</w:t>
      </w:r>
      <w:r>
        <w:rPr>
          <w:rFonts w:ascii="Arial" w:hAnsi="Arial" w:cs="Arial"/>
          <w:color w:val="000000"/>
          <w:sz w:val="16"/>
          <w:szCs w:val="16"/>
        </w:rPr>
        <w:t xml:space="preserve"> </w:t>
      </w:r>
      <w:bookmarkStart w:id="3" w:name="_top"/>
      <w:bookmarkEnd w:id="3"/>
      <w:r>
        <w:rPr>
          <w:rFonts w:ascii="Arial" w:hAnsi="Arial" w:cs="Arial"/>
          <w:color w:val="000000"/>
          <w:sz w:val="16"/>
          <w:szCs w:val="16"/>
        </w:rPr>
        <w:t xml:space="preserve"> </w:t>
      </w:r>
      <w:r w:rsidRPr="00035A9F">
        <w:rPr>
          <w:rFonts w:ascii="Arial" w:hAnsi="Arial" w:cs="Arial"/>
          <w:color w:val="000000"/>
          <w:sz w:val="16"/>
          <w:szCs w:val="16"/>
        </w:rPr>
        <w:t>PART 1026—TRUTH IN LENDING (REGULATION Z)</w:t>
      </w:r>
      <w:r>
        <w:rPr>
          <w:rFonts w:ascii="Arial" w:hAnsi="Arial" w:cs="Arial"/>
          <w:color w:val="000000"/>
          <w:sz w:val="16"/>
          <w:szCs w:val="16"/>
        </w:rPr>
        <w:t xml:space="preserve"> </w:t>
      </w:r>
    </w:p>
    <w:p w:rsidR="00B84BB8" w:rsidRDefault="00B84BB8">
      <w:pPr>
        <w:pStyle w:val="FootnoteText"/>
      </w:pPr>
    </w:p>
  </w:footnote>
  <w:footnote w:id="3">
    <w:p w:rsidR="00B84BB8" w:rsidRDefault="00B84BB8">
      <w:pPr>
        <w:pStyle w:val="FootnoteText"/>
      </w:pPr>
      <w:r>
        <w:rPr>
          <w:rStyle w:val="FootnoteReference"/>
        </w:rPr>
        <w:footnoteRef/>
      </w:r>
      <w:r>
        <w:t xml:space="preserve"> </w:t>
      </w:r>
      <w:bookmarkStart w:id="9" w:name="fdic6500226.4"/>
      <w:r w:rsidRPr="00944995">
        <w:rPr>
          <w:sz w:val="16"/>
          <w:szCs w:val="16"/>
        </w:rPr>
        <w:t xml:space="preserve">eCFR Title 12: Banks and Banking TRUTH IN LENDING (REGULATION Z) </w:t>
      </w:r>
      <w:r>
        <w:rPr>
          <w:sz w:val="16"/>
          <w:szCs w:val="16"/>
        </w:rPr>
        <w:t xml:space="preserve">PART </w:t>
      </w:r>
      <w:r w:rsidRPr="00944995">
        <w:rPr>
          <w:rStyle w:val="Strong"/>
          <w:b w:val="0"/>
          <w:sz w:val="16"/>
          <w:szCs w:val="16"/>
        </w:rPr>
        <w:t>§ 1026.4 Finance charge</w:t>
      </w:r>
      <w:bookmarkEnd w:id="9"/>
      <w:r w:rsidRPr="00944995">
        <w:rPr>
          <w:rStyle w:val="Strong"/>
          <w:b w:val="0"/>
          <w:sz w:val="16"/>
          <w:szCs w:val="16"/>
        </w:rPr>
        <w:t xml:space="preserve"> (a)</w:t>
      </w:r>
    </w:p>
  </w:footnote>
  <w:footnote w:id="4">
    <w:p w:rsidR="00B84BB8" w:rsidRDefault="00B84BB8">
      <w:pPr>
        <w:pStyle w:val="FootnoteText"/>
      </w:pPr>
      <w:r>
        <w:rPr>
          <w:rStyle w:val="FootnoteReference"/>
        </w:rPr>
        <w:footnoteRef/>
      </w:r>
      <w:r>
        <w:t xml:space="preserve"> </w:t>
      </w:r>
      <w:r w:rsidRPr="00944995">
        <w:rPr>
          <w:sz w:val="16"/>
          <w:szCs w:val="16"/>
        </w:rPr>
        <w:t xml:space="preserve">eCFR Title 12: Banks and Banking  TRUTH IN LENDING (REGULATION Z)  PART </w:t>
      </w:r>
      <w:hyperlink r:id="rId1" w:anchor="12:8.0.2.10.18.3.1.2" w:history="1">
        <w:r w:rsidRPr="00944995">
          <w:rPr>
            <w:rStyle w:val="Hyperlink"/>
            <w:sz w:val="16"/>
            <w:szCs w:val="16"/>
          </w:rPr>
          <w:t>§ 1026.18</w:t>
        </w:r>
      </w:hyperlink>
      <w:r w:rsidRPr="00944995">
        <w:rPr>
          <w:sz w:val="16"/>
          <w:szCs w:val="16"/>
        </w:rPr>
        <w:t>(d)(1)(i)(ii)</w:t>
      </w:r>
    </w:p>
  </w:footnote>
  <w:footnote w:id="5">
    <w:p w:rsidR="00B84BB8" w:rsidRDefault="00B84BB8">
      <w:pPr>
        <w:pStyle w:val="FootnoteText"/>
      </w:pPr>
      <w:r>
        <w:rPr>
          <w:rStyle w:val="FootnoteReference"/>
        </w:rPr>
        <w:footnoteRef/>
      </w:r>
      <w:r>
        <w:t xml:space="preserve"> </w:t>
      </w:r>
      <w:r w:rsidRPr="00944995">
        <w:rPr>
          <w:sz w:val="16"/>
          <w:szCs w:val="16"/>
        </w:rPr>
        <w:t xml:space="preserve">eCFR Title 12: Banks and Banking  TRUTH IN LENDING (REGULATION Z)  PART </w:t>
      </w:r>
      <w:hyperlink r:id="rId2" w:anchor="12:8.0.2.10.18.3.1.7" w:history="1">
        <w:r w:rsidRPr="00944995">
          <w:rPr>
            <w:rStyle w:val="Hyperlink"/>
            <w:sz w:val="16"/>
            <w:szCs w:val="16"/>
          </w:rPr>
          <w:t>§ 1026.23</w:t>
        </w:r>
      </w:hyperlink>
      <w:r w:rsidRPr="00944995">
        <w:rPr>
          <w:sz w:val="16"/>
          <w:szCs w:val="16"/>
        </w:rPr>
        <w:t>(g)(1)(i)(ii)</w:t>
      </w:r>
    </w:p>
  </w:footnote>
  <w:footnote w:id="6">
    <w:p w:rsidR="00B84BB8" w:rsidRPr="00F11A80" w:rsidRDefault="00B84BB8">
      <w:pPr>
        <w:pStyle w:val="FootnoteText"/>
        <w:rPr>
          <w:sz w:val="16"/>
          <w:szCs w:val="16"/>
        </w:rPr>
      </w:pPr>
      <w:r>
        <w:rPr>
          <w:rStyle w:val="FootnoteReference"/>
        </w:rPr>
        <w:footnoteRef/>
      </w:r>
      <w:r>
        <w:t xml:space="preserve"> </w:t>
      </w:r>
      <w:r w:rsidRPr="00944995">
        <w:rPr>
          <w:sz w:val="16"/>
          <w:szCs w:val="16"/>
        </w:rPr>
        <w:t xml:space="preserve">eCFR Title 12: Banks and Banking  TRUTH IN LENDING (REGULATION Z)  PART </w:t>
      </w:r>
      <w:hyperlink r:id="rId3" w:anchor="12:8.0.2.10.18.3.1.7" w:history="1">
        <w:r w:rsidRPr="00944995">
          <w:rPr>
            <w:rStyle w:val="Hyperlink"/>
            <w:sz w:val="16"/>
            <w:szCs w:val="16"/>
          </w:rPr>
          <w:t>§ 1026.23</w:t>
        </w:r>
      </w:hyperlink>
      <w:r w:rsidRPr="00944995">
        <w:rPr>
          <w:sz w:val="16"/>
          <w:szCs w:val="16"/>
        </w:rPr>
        <w:t>(g)(2)</w:t>
      </w:r>
    </w:p>
  </w:footnote>
  <w:footnote w:id="7">
    <w:p w:rsidR="00B84BB8" w:rsidRPr="00F11A80" w:rsidRDefault="00B84BB8">
      <w:pPr>
        <w:pStyle w:val="FootnoteText"/>
        <w:rPr>
          <w:sz w:val="16"/>
          <w:szCs w:val="16"/>
        </w:rPr>
      </w:pPr>
      <w:r w:rsidRPr="00944995">
        <w:rPr>
          <w:rStyle w:val="FootnoteReference"/>
          <w:sz w:val="16"/>
          <w:szCs w:val="16"/>
        </w:rPr>
        <w:footnoteRef/>
      </w:r>
      <w:r w:rsidRPr="00944995">
        <w:rPr>
          <w:sz w:val="16"/>
          <w:szCs w:val="16"/>
        </w:rPr>
        <w:t xml:space="preserve"> eCFR Title 12: Banks and Banking  TRUTH IN LENDING (REGULATION Z)  PART </w:t>
      </w:r>
      <w:hyperlink r:id="rId4" w:anchor="12:8.0.2.10.18.3.1.7" w:history="1">
        <w:r w:rsidRPr="00944995">
          <w:rPr>
            <w:rStyle w:val="Hyperlink"/>
            <w:sz w:val="16"/>
            <w:szCs w:val="16"/>
          </w:rPr>
          <w:t>§ 1026.23</w:t>
        </w:r>
      </w:hyperlink>
      <w:r w:rsidRPr="00944995">
        <w:rPr>
          <w:sz w:val="16"/>
          <w:szCs w:val="16"/>
        </w:rPr>
        <w:t>(a)(3)(i)</w:t>
      </w:r>
    </w:p>
  </w:footnote>
  <w:footnote w:id="8">
    <w:p w:rsidR="00B84BB8" w:rsidRDefault="00B84BB8">
      <w:pPr>
        <w:pStyle w:val="FootnoteText"/>
      </w:pPr>
      <w:r w:rsidRPr="00944995">
        <w:rPr>
          <w:rStyle w:val="FootnoteReference"/>
          <w:sz w:val="16"/>
          <w:szCs w:val="16"/>
        </w:rPr>
        <w:footnoteRef/>
      </w:r>
      <w:r w:rsidRPr="00944995">
        <w:rPr>
          <w:sz w:val="16"/>
          <w:szCs w:val="16"/>
        </w:rPr>
        <w:t xml:space="preserve"> eCFR Title 12: Banks and Banking  TRUTH IN LENDING (REGULATION Z)  PART </w:t>
      </w:r>
      <w:hyperlink r:id="rId5" w:anchor="12:8.0.2.10.18.3.1.7" w:history="1">
        <w:r w:rsidRPr="00944995">
          <w:rPr>
            <w:rStyle w:val="Hyperlink"/>
            <w:sz w:val="16"/>
            <w:szCs w:val="16"/>
          </w:rPr>
          <w:t>§ 1026.23</w:t>
        </w:r>
      </w:hyperlink>
      <w:r w:rsidRPr="00944995">
        <w:rPr>
          <w:sz w:val="16"/>
          <w:szCs w:val="16"/>
        </w:rPr>
        <w:t>(h)(1)(i)(ii),(h)(2)(i)(ii)</w:t>
      </w:r>
    </w:p>
  </w:footnote>
  <w:footnote w:id="9">
    <w:p w:rsidR="00B84BB8" w:rsidRPr="00AF7B92" w:rsidRDefault="00B84BB8" w:rsidP="00AF7B92">
      <w:pPr>
        <w:rPr>
          <w:rFonts w:cs="Arial"/>
          <w:color w:val="000000"/>
        </w:rPr>
      </w:pPr>
      <w:r w:rsidRPr="00AF7B92">
        <w:t xml:space="preserve">CFR Title 12: Banks and Banking  TRUTH IN LENDING (REGULATION Z)  PART </w:t>
      </w:r>
      <w:r w:rsidRPr="00AF7B92">
        <w:rPr>
          <w:rStyle w:val="FootnoteReference"/>
          <w:rFonts w:asciiTheme="majorHAnsi" w:hAnsiTheme="majorHAnsi"/>
          <w:b/>
          <w:sz w:val="16"/>
          <w:szCs w:val="16"/>
          <w:vertAlign w:val="baseline"/>
        </w:rPr>
        <w:footnoteRef/>
      </w:r>
      <w:r w:rsidRPr="00AF7B92">
        <w:t xml:space="preserve"> </w:t>
      </w:r>
      <w:r w:rsidRPr="00AF7B92">
        <w:rPr>
          <w:rFonts w:cs="Arial"/>
          <w:color w:val="000000"/>
        </w:rPr>
        <w:t>§1026.17(d)   General disclosure requirements</w:t>
      </w:r>
    </w:p>
    <w:p w:rsidR="00B84BB8" w:rsidRDefault="00B84BB8">
      <w:pPr>
        <w:pStyle w:val="FootnoteText"/>
      </w:pPr>
    </w:p>
  </w:footnote>
  <w:footnote w:id="10">
    <w:p w:rsidR="00B84BB8" w:rsidRPr="009D2240" w:rsidRDefault="00B84BB8" w:rsidP="00410C6A">
      <w:pPr>
        <w:pStyle w:val="NormalWeb"/>
        <w:rPr>
          <w:rFonts w:asciiTheme="minorHAnsi" w:hAnsiTheme="minorHAnsi"/>
          <w:sz w:val="16"/>
          <w:szCs w:val="16"/>
        </w:rPr>
      </w:pPr>
      <w:r>
        <w:rPr>
          <w:rStyle w:val="FootnoteReference"/>
        </w:rPr>
        <w:footnoteRef/>
      </w:r>
      <w:r>
        <w:t xml:space="preserve"> </w:t>
      </w:r>
      <w:bookmarkStart w:id="16" w:name="fdic6644"/>
      <w:r w:rsidRPr="009D2240">
        <w:rPr>
          <w:rFonts w:ascii="Calibri" w:eastAsia="Calibri" w:hAnsi="Calibri"/>
          <w:sz w:val="16"/>
          <w:szCs w:val="16"/>
        </w:rPr>
        <w:t xml:space="preserve"> </w:t>
      </w:r>
      <w:r w:rsidRPr="00944995">
        <w:rPr>
          <w:rFonts w:asciiTheme="minorHAnsi" w:hAnsiTheme="minorHAnsi"/>
          <w:iCs/>
          <w:sz w:val="16"/>
          <w:szCs w:val="16"/>
        </w:rPr>
        <w:t>eCFR Title 12: Banks and Banking  TRUTH IN LENDING (REGULATION Z) PART</w:t>
      </w:r>
      <w:r w:rsidRPr="009D2240">
        <w:rPr>
          <w:rFonts w:ascii="Calibri" w:eastAsia="Calibri" w:hAnsi="Calibri"/>
          <w:sz w:val="22"/>
          <w:szCs w:val="22"/>
        </w:rPr>
        <w:t xml:space="preserve"> </w:t>
      </w:r>
      <w:hyperlink r:id="rId6" w:anchor="12:8.0.2.10.18.1.1.2" w:history="1">
        <w:r w:rsidRPr="009D2240">
          <w:rPr>
            <w:rStyle w:val="Hyperlink"/>
            <w:rFonts w:asciiTheme="minorHAnsi" w:hAnsiTheme="minorHAnsi"/>
            <w:iCs/>
            <w:sz w:val="16"/>
            <w:szCs w:val="16"/>
          </w:rPr>
          <w:t>§ 1026.2</w:t>
        </w:r>
      </w:hyperlink>
      <w:r>
        <w:rPr>
          <w:rFonts w:asciiTheme="minorHAnsi" w:hAnsiTheme="minorHAnsi"/>
          <w:iCs/>
          <w:sz w:val="16"/>
          <w:szCs w:val="16"/>
        </w:rPr>
        <w:t>(6)</w:t>
      </w:r>
    </w:p>
    <w:bookmarkEnd w:id="16"/>
    <w:p w:rsidR="00B84BB8" w:rsidRDefault="00B84BB8">
      <w:pPr>
        <w:pStyle w:val="FootnoteText"/>
      </w:pPr>
    </w:p>
  </w:footnote>
  <w:footnote w:id="11">
    <w:p w:rsidR="00B84BB8" w:rsidRDefault="00B84BB8">
      <w:pPr>
        <w:pStyle w:val="FootnoteText"/>
      </w:pPr>
      <w:r>
        <w:rPr>
          <w:rStyle w:val="FootnoteReference"/>
        </w:rPr>
        <w:footnoteRef/>
      </w:r>
      <w:r>
        <w:t xml:space="preserve"> </w:t>
      </w:r>
      <w:r w:rsidRPr="00944995">
        <w:rPr>
          <w:iCs/>
          <w:sz w:val="16"/>
          <w:szCs w:val="16"/>
        </w:rPr>
        <w:t xml:space="preserve">eCFR Title 12: Banks and Banking  TRUTH IN LENDING (REGULATION Z) PART </w:t>
      </w:r>
      <w:hyperlink r:id="rId7" w:anchor="12:8.0.2.10.18.2.1.1" w:history="1">
        <w:r w:rsidRPr="00944995">
          <w:rPr>
            <w:rStyle w:val="Hyperlink"/>
            <w:iCs/>
            <w:sz w:val="16"/>
            <w:szCs w:val="16"/>
          </w:rPr>
          <w:t>§ 1026.</w:t>
        </w:r>
        <w:r>
          <w:rPr>
            <w:rStyle w:val="Hyperlink"/>
            <w:iCs/>
            <w:sz w:val="16"/>
            <w:szCs w:val="16"/>
          </w:rPr>
          <w:t>17</w:t>
        </w:r>
      </w:hyperlink>
      <w:r w:rsidRPr="00944995">
        <w:rPr>
          <w:iCs/>
          <w:sz w:val="16"/>
          <w:szCs w:val="16"/>
        </w:rPr>
        <w:t>(a)-(e)</w:t>
      </w:r>
    </w:p>
  </w:footnote>
  <w:footnote w:id="12">
    <w:p w:rsidR="00B84BB8" w:rsidRDefault="00B84BB8">
      <w:pPr>
        <w:pStyle w:val="FootnoteText"/>
      </w:pPr>
      <w:r>
        <w:rPr>
          <w:rStyle w:val="FootnoteReference"/>
        </w:rPr>
        <w:footnoteRef/>
      </w:r>
      <w:r>
        <w:t xml:space="preserve"> </w:t>
      </w:r>
      <w:r w:rsidRPr="00944995">
        <w:rPr>
          <w:iCs/>
          <w:sz w:val="16"/>
          <w:szCs w:val="16"/>
        </w:rPr>
        <w:t>eCFR Title 12: Banks and Banking  TRUTH IN LENDING (REGULATION Z) PART</w:t>
      </w:r>
      <w:r>
        <w:rPr>
          <w:iCs/>
          <w:sz w:val="16"/>
          <w:szCs w:val="16"/>
        </w:rPr>
        <w:t xml:space="preserve"> </w:t>
      </w:r>
      <w:hyperlink r:id="rId8" w:anchor="12:8.0.2.10.18.3.1.3" w:history="1">
        <w:r w:rsidRPr="00944995">
          <w:rPr>
            <w:rStyle w:val="Hyperlink"/>
            <w:iCs/>
            <w:sz w:val="16"/>
            <w:szCs w:val="16"/>
          </w:rPr>
          <w:t>§</w:t>
        </w:r>
        <w:r>
          <w:rPr>
            <w:rStyle w:val="Hyperlink"/>
            <w:iCs/>
            <w:sz w:val="16"/>
            <w:szCs w:val="16"/>
          </w:rPr>
          <w:t xml:space="preserve"> </w:t>
        </w:r>
        <w:r w:rsidRPr="00944995">
          <w:rPr>
            <w:rStyle w:val="Hyperlink"/>
            <w:iCs/>
            <w:sz w:val="16"/>
            <w:szCs w:val="16"/>
          </w:rPr>
          <w:t>1026.19</w:t>
        </w:r>
      </w:hyperlink>
      <w:r w:rsidRPr="00944995">
        <w:rPr>
          <w:iCs/>
          <w:sz w:val="16"/>
          <w:szCs w:val="16"/>
        </w:rPr>
        <w:t xml:space="preserve"> (b)-(d)</w:t>
      </w:r>
    </w:p>
  </w:footnote>
  <w:footnote w:id="13">
    <w:p w:rsidR="00B84BB8" w:rsidRDefault="00B84BB8">
      <w:pPr>
        <w:pStyle w:val="FootnoteText"/>
      </w:pPr>
      <w:r>
        <w:rPr>
          <w:rStyle w:val="FootnoteReference"/>
        </w:rPr>
        <w:footnoteRef/>
      </w:r>
      <w:r>
        <w:t xml:space="preserve"> </w:t>
      </w:r>
      <w:r w:rsidRPr="00944995">
        <w:rPr>
          <w:iCs/>
          <w:sz w:val="16"/>
          <w:szCs w:val="16"/>
        </w:rPr>
        <w:t>eCFR Title 12: Banks and Banking  TRUTH IN LENDING (REGULATION Z) PART</w:t>
      </w:r>
      <w:r w:rsidRPr="00944995">
        <w:rPr>
          <w:sz w:val="16"/>
          <w:szCs w:val="16"/>
        </w:rPr>
        <w:t xml:space="preserve"> </w:t>
      </w:r>
      <w:r w:rsidRPr="00944995">
        <w:rPr>
          <w:bCs/>
          <w:sz w:val="16"/>
          <w:szCs w:val="16"/>
        </w:rPr>
        <w:t>§ 1026.31</w:t>
      </w:r>
      <w:r w:rsidRPr="00944995">
        <w:rPr>
          <w:iCs/>
          <w:sz w:val="16"/>
          <w:szCs w:val="16"/>
        </w:rPr>
        <w:t xml:space="preserve">(2)(i)(ii) and </w:t>
      </w:r>
      <w:hyperlink r:id="rId9" w:anchor="12:8.0.2.10.18.5.1.4" w:history="1">
        <w:r w:rsidRPr="00944995">
          <w:rPr>
            <w:rStyle w:val="Hyperlink"/>
            <w:iCs/>
            <w:sz w:val="16"/>
            <w:szCs w:val="16"/>
          </w:rPr>
          <w:t>§ 1026.33</w:t>
        </w:r>
      </w:hyperlink>
      <w:r w:rsidRPr="00944995">
        <w:rPr>
          <w:iCs/>
          <w:sz w:val="16"/>
          <w:szCs w:val="16"/>
        </w:rPr>
        <w:t>(b)-(c)</w:t>
      </w:r>
    </w:p>
  </w:footnote>
  <w:footnote w:id="14">
    <w:p w:rsidR="00B84BB8" w:rsidRDefault="00B84BB8" w:rsidP="00E54B6D">
      <w:pPr>
        <w:pStyle w:val="FootnoteText"/>
      </w:pPr>
      <w:r>
        <w:rPr>
          <w:rStyle w:val="FootnoteReference"/>
        </w:rPr>
        <w:footnoteRef/>
      </w:r>
      <w:r>
        <w:t xml:space="preserve"> </w:t>
      </w:r>
      <w:r w:rsidRPr="00633EE0">
        <w:rPr>
          <w:sz w:val="16"/>
          <w:szCs w:val="16"/>
        </w:rPr>
        <w:t>§ 1026.43</w:t>
      </w:r>
      <w:r>
        <w:rPr>
          <w:sz w:val="16"/>
          <w:szCs w:val="16"/>
        </w:rPr>
        <w:t xml:space="preserve"> </w:t>
      </w:r>
    </w:p>
  </w:footnote>
  <w:footnote w:id="15">
    <w:p w:rsidR="00B84BB8" w:rsidRDefault="00B84BB8" w:rsidP="00E54B6D">
      <w:pPr>
        <w:pStyle w:val="FootnoteText"/>
      </w:pPr>
      <w:r>
        <w:rPr>
          <w:rStyle w:val="FootnoteReference"/>
        </w:rPr>
        <w:footnoteRef/>
      </w:r>
      <w:r>
        <w:t xml:space="preserve"> </w:t>
      </w:r>
      <w:r w:rsidRPr="00944995">
        <w:rPr>
          <w:sz w:val="16"/>
          <w:szCs w:val="16"/>
        </w:rPr>
        <w:t xml:space="preserve">eCFR Title 12: Banks and Banking  TRUTH IN LENDING (REGULATION Z)  PART </w:t>
      </w:r>
      <w:hyperlink r:id="rId10" w:anchor="12:8.0.2.10.18.5.1.7" w:history="1">
        <w:r w:rsidRPr="00944995">
          <w:rPr>
            <w:rStyle w:val="Hyperlink"/>
            <w:sz w:val="16"/>
            <w:szCs w:val="16"/>
          </w:rPr>
          <w:t>§ 1026.36</w:t>
        </w:r>
      </w:hyperlink>
      <w:r w:rsidRPr="00944995">
        <w:rPr>
          <w:sz w:val="16"/>
          <w:szCs w:val="16"/>
        </w:rPr>
        <w:t>(d)(1)(i)(ii)(iii), (2)(i)</w:t>
      </w:r>
    </w:p>
  </w:footnote>
  <w:footnote w:id="16">
    <w:p w:rsidR="00B84BB8" w:rsidRPr="00303A15" w:rsidRDefault="00B84BB8" w:rsidP="00E54B6D">
      <w:pPr>
        <w:pStyle w:val="FootnoteText"/>
        <w:rPr>
          <w:sz w:val="16"/>
          <w:szCs w:val="16"/>
        </w:rPr>
      </w:pPr>
      <w:r>
        <w:rPr>
          <w:rStyle w:val="FootnoteReference"/>
        </w:rPr>
        <w:footnoteRef/>
      </w:r>
      <w:r>
        <w:t xml:space="preserve"> </w:t>
      </w:r>
      <w:r w:rsidRPr="00944995">
        <w:rPr>
          <w:sz w:val="16"/>
          <w:szCs w:val="16"/>
        </w:rPr>
        <w:t xml:space="preserve">eCFR Title 12: Banks and Banking  TRUTH IN LENDING (REGULATION Z)  PART </w:t>
      </w:r>
      <w:hyperlink r:id="rId11" w:anchor="12:8.0.2.10.18.5.1.7" w:history="1">
        <w:r w:rsidRPr="00944995">
          <w:rPr>
            <w:rStyle w:val="Hyperlink"/>
            <w:sz w:val="16"/>
            <w:szCs w:val="16"/>
          </w:rPr>
          <w:t>§ 1026.36</w:t>
        </w:r>
      </w:hyperlink>
      <w:r w:rsidRPr="00944995">
        <w:rPr>
          <w:sz w:val="16"/>
          <w:szCs w:val="16"/>
        </w:rPr>
        <w:t>(d)(1)(i)(ii)(iii), (2)(i)(ii),(3)</w:t>
      </w:r>
    </w:p>
  </w:footnote>
  <w:footnote w:id="17">
    <w:p w:rsidR="00B84BB8" w:rsidRPr="00314D55" w:rsidRDefault="00B84BB8">
      <w:pPr>
        <w:pStyle w:val="FootnoteText"/>
        <w:rPr>
          <w:lang w:val="en-GB"/>
        </w:rPr>
      </w:pPr>
      <w:r>
        <w:rPr>
          <w:rStyle w:val="FootnoteReference"/>
        </w:rPr>
        <w:footnoteRef/>
      </w:r>
      <w:r>
        <w:t xml:space="preserve"> </w:t>
      </w:r>
      <w:r w:rsidRPr="00314D55">
        <w:t>eCFR Title 12: Banks and Banking  TRUTH IN LENDING (REGULATION Z)  PART § 1026.36(e)(1),(2)(i)(ii)(iii),(3)(i)(ii)(iii)(4)</w:t>
      </w:r>
    </w:p>
  </w:footnote>
  <w:footnote w:id="18">
    <w:p w:rsidR="00B84BB8" w:rsidRDefault="00B84BB8">
      <w:pPr>
        <w:pStyle w:val="FootnoteText"/>
      </w:pPr>
      <w:r>
        <w:rPr>
          <w:rStyle w:val="FootnoteReference"/>
        </w:rPr>
        <w:footnoteRef/>
      </w:r>
      <w:r>
        <w:t xml:space="preserve"> </w:t>
      </w:r>
      <w:r w:rsidRPr="00944995">
        <w:rPr>
          <w:sz w:val="16"/>
          <w:szCs w:val="16"/>
        </w:rPr>
        <w:t xml:space="preserve">eCFR Title 12: Banks and Banking  TRUTH IN LENDING (REGULATION Z)  PART </w:t>
      </w:r>
      <w:hyperlink r:id="rId12" w:anchor="12:8.0.2.10.18.5.1.7" w:history="1">
        <w:r w:rsidRPr="00944995">
          <w:rPr>
            <w:rStyle w:val="Hyperlink"/>
            <w:sz w:val="16"/>
            <w:szCs w:val="16"/>
          </w:rPr>
          <w:t>§ 1026.36</w:t>
        </w:r>
      </w:hyperlink>
      <w:r w:rsidRPr="00944995">
        <w:rPr>
          <w:sz w:val="16"/>
          <w:szCs w:val="16"/>
        </w:rPr>
        <w:t>(d)(1)(i)(ii)(iii), (2)(i)</w:t>
      </w:r>
    </w:p>
  </w:footnote>
  <w:footnote w:id="19">
    <w:p w:rsidR="00B84BB8" w:rsidRPr="00303A15" w:rsidRDefault="00B84BB8">
      <w:pPr>
        <w:pStyle w:val="FootnoteText"/>
        <w:rPr>
          <w:sz w:val="16"/>
          <w:szCs w:val="16"/>
        </w:rPr>
      </w:pPr>
      <w:r>
        <w:rPr>
          <w:rStyle w:val="FootnoteReference"/>
        </w:rPr>
        <w:footnoteRef/>
      </w:r>
      <w:r>
        <w:t xml:space="preserve"> </w:t>
      </w:r>
      <w:r w:rsidRPr="00944995">
        <w:rPr>
          <w:sz w:val="16"/>
          <w:szCs w:val="16"/>
        </w:rPr>
        <w:t xml:space="preserve">eCFR Title 12: Banks and Banking  TRUTH IN LENDING (REGULATION Z)  PART </w:t>
      </w:r>
      <w:hyperlink r:id="rId13" w:anchor="12:8.0.2.10.18.5.1.7" w:history="1">
        <w:r w:rsidRPr="00944995">
          <w:rPr>
            <w:rStyle w:val="Hyperlink"/>
            <w:sz w:val="16"/>
            <w:szCs w:val="16"/>
          </w:rPr>
          <w:t>§ 1026.36</w:t>
        </w:r>
      </w:hyperlink>
      <w:r w:rsidRPr="00944995">
        <w:rPr>
          <w:sz w:val="16"/>
          <w:szCs w:val="16"/>
        </w:rPr>
        <w:t>(d)(1)(i)(ii)(iii), (2)(i)(ii),(3)</w:t>
      </w:r>
    </w:p>
  </w:footnote>
  <w:footnote w:id="20">
    <w:p w:rsidR="00B84BB8" w:rsidRDefault="00B84BB8">
      <w:pPr>
        <w:pStyle w:val="FootnoteText"/>
      </w:pPr>
      <w:r w:rsidRPr="00944995">
        <w:rPr>
          <w:rStyle w:val="FootnoteReference"/>
          <w:sz w:val="16"/>
          <w:szCs w:val="16"/>
        </w:rPr>
        <w:footnoteRef/>
      </w:r>
      <w:r w:rsidRPr="00944995">
        <w:rPr>
          <w:sz w:val="16"/>
          <w:szCs w:val="16"/>
        </w:rPr>
        <w:t xml:space="preserve">eCFR Title 12: Banks and Banking  TRUTH IN LENDING (REGULATION Z)  PART </w:t>
      </w:r>
      <w:hyperlink r:id="rId14" w:anchor="12:8.0.2.10.18.5.1.7" w:history="1">
        <w:r w:rsidRPr="00944995">
          <w:rPr>
            <w:rStyle w:val="Hyperlink"/>
            <w:sz w:val="16"/>
            <w:szCs w:val="16"/>
          </w:rPr>
          <w:t>§ 1026.36</w:t>
        </w:r>
      </w:hyperlink>
      <w:r w:rsidRPr="00944995">
        <w:rPr>
          <w:sz w:val="16"/>
          <w:szCs w:val="16"/>
        </w:rPr>
        <w:t>(e)(1),(2)(i)(ii)(iii),(3)(i)(ii)(iii)(4)</w:t>
      </w:r>
    </w:p>
  </w:footnote>
  <w:footnote w:id="21">
    <w:p w:rsidR="00B84BB8" w:rsidRDefault="00B84BB8">
      <w:pPr>
        <w:pStyle w:val="FootnoteText"/>
      </w:pPr>
      <w:r>
        <w:rPr>
          <w:rStyle w:val="FootnoteReference"/>
        </w:rPr>
        <w:footnoteRef/>
      </w:r>
      <w:r>
        <w:t xml:space="preserve"> </w:t>
      </w:r>
      <w:r w:rsidRPr="00944995">
        <w:rPr>
          <w:sz w:val="16"/>
          <w:szCs w:val="16"/>
        </w:rPr>
        <w:t xml:space="preserve">eCFR Title 12: Banks and Banking  TRUTH IN LENDING (REGULATION Z)  PART </w:t>
      </w:r>
      <w:hyperlink r:id="rId15" w:anchor="12:8.0.2.10.18.5.1.7" w:history="1">
        <w:r w:rsidRPr="00944995">
          <w:rPr>
            <w:rStyle w:val="Hyperlink"/>
            <w:sz w:val="16"/>
            <w:szCs w:val="16"/>
          </w:rPr>
          <w:t>§ 1026.36</w:t>
        </w:r>
      </w:hyperlink>
      <w:r w:rsidRPr="00944995">
        <w:rPr>
          <w:sz w:val="16"/>
          <w:szCs w:val="16"/>
        </w:rPr>
        <w:t>(d)(1)(i)(ii)(iii), (2)(i)(ii)</w:t>
      </w:r>
    </w:p>
  </w:footnote>
  <w:footnote w:id="22">
    <w:p w:rsidR="00B84BB8" w:rsidRDefault="00B84BB8">
      <w:pPr>
        <w:pStyle w:val="FootnoteText"/>
      </w:pPr>
      <w:r>
        <w:rPr>
          <w:rStyle w:val="FootnoteReference"/>
        </w:rPr>
        <w:footnoteRef/>
      </w:r>
      <w:r>
        <w:t xml:space="preserve"> </w:t>
      </w:r>
      <w:r w:rsidRPr="00944995">
        <w:rPr>
          <w:sz w:val="16"/>
          <w:szCs w:val="16"/>
        </w:rPr>
        <w:t xml:space="preserve">eCFR Title 12: Banks and Banking  TRUTH IN LENDING (REGULATION Z)  PART </w:t>
      </w:r>
      <w:hyperlink r:id="rId16" w:anchor="12:8.0.2.10.18.5.1.7" w:history="1">
        <w:r w:rsidRPr="00944995">
          <w:rPr>
            <w:rStyle w:val="Hyperlink"/>
            <w:sz w:val="16"/>
            <w:szCs w:val="16"/>
          </w:rPr>
          <w:t>§ 1026.36</w:t>
        </w:r>
      </w:hyperlink>
      <w:r w:rsidRPr="00944995">
        <w:rPr>
          <w:sz w:val="16"/>
          <w:szCs w:val="16"/>
        </w:rPr>
        <w:t>(a)(1)(i)</w:t>
      </w:r>
    </w:p>
  </w:footnote>
  <w:footnote w:id="23">
    <w:p w:rsidR="00B84BB8" w:rsidRDefault="00B84BB8">
      <w:pPr>
        <w:pStyle w:val="FootnoteText"/>
      </w:pPr>
      <w:r>
        <w:rPr>
          <w:rStyle w:val="FootnoteReference"/>
        </w:rPr>
        <w:footnoteRef/>
      </w:r>
      <w:r>
        <w:t xml:space="preserve"> </w:t>
      </w:r>
      <w:r w:rsidRPr="00944995">
        <w:rPr>
          <w:sz w:val="16"/>
          <w:szCs w:val="16"/>
        </w:rPr>
        <w:t xml:space="preserve">eCFR Title 12: Banks and Banking  TRUTH IN LENDING (REGULATION Z)  PART </w:t>
      </w:r>
      <w:hyperlink r:id="rId17" w:anchor="12:8.0.2.10.18.5.1.7" w:history="1">
        <w:r w:rsidRPr="00944995">
          <w:rPr>
            <w:rStyle w:val="Hyperlink"/>
            <w:sz w:val="16"/>
            <w:szCs w:val="16"/>
          </w:rPr>
          <w:t>§ 1026.36</w:t>
        </w:r>
      </w:hyperlink>
      <w:r w:rsidRPr="00944995">
        <w:rPr>
          <w:sz w:val="16"/>
          <w:szCs w:val="16"/>
        </w:rPr>
        <w:t>(a)(1)(i)</w:t>
      </w:r>
    </w:p>
  </w:footnote>
  <w:footnote w:id="24">
    <w:p w:rsidR="00B84BB8" w:rsidRDefault="00B84BB8">
      <w:pPr>
        <w:pStyle w:val="FootnoteText"/>
      </w:pPr>
      <w:r>
        <w:rPr>
          <w:rStyle w:val="FootnoteReference"/>
        </w:rPr>
        <w:footnoteRef/>
      </w:r>
      <w:r>
        <w:t xml:space="preserve"> </w:t>
      </w:r>
      <w:r w:rsidRPr="00944995">
        <w:rPr>
          <w:sz w:val="16"/>
          <w:szCs w:val="16"/>
        </w:rPr>
        <w:t xml:space="preserve">eCFR Title 12: Banks and Banking  TRUTH IN LENDING (REGULATION Z)  PART </w:t>
      </w:r>
      <w:hyperlink r:id="rId18" w:anchor="12:8.0.2.10.18.5.1.7" w:history="1">
        <w:r w:rsidRPr="00944995">
          <w:rPr>
            <w:rStyle w:val="Hyperlink"/>
            <w:sz w:val="16"/>
            <w:szCs w:val="16"/>
          </w:rPr>
          <w:t>§ 1026.36</w:t>
        </w:r>
      </w:hyperlink>
      <w:r w:rsidRPr="00944995">
        <w:rPr>
          <w:sz w:val="16"/>
          <w:szCs w:val="16"/>
        </w:rPr>
        <w:t>(e)(1),(2)(i)(ii)(iii),(3)(i)(ii)(iii)(4)</w:t>
      </w:r>
    </w:p>
  </w:footnote>
  <w:footnote w:id="25">
    <w:p w:rsidR="00B84BB8" w:rsidRDefault="00B84BB8">
      <w:pPr>
        <w:pStyle w:val="FootnoteText"/>
      </w:pPr>
      <w:r>
        <w:rPr>
          <w:rStyle w:val="FootnoteReference"/>
        </w:rPr>
        <w:footnoteRef/>
      </w:r>
      <w:r>
        <w:t xml:space="preserve"> </w:t>
      </w:r>
      <w:hyperlink r:id="rId19" w:history="1">
        <w:r w:rsidRPr="00944995">
          <w:rPr>
            <w:rStyle w:val="Hyperlink"/>
            <w:sz w:val="16"/>
            <w:szCs w:val="16"/>
          </w:rPr>
          <w:t>TRUTH IN LENDING (REGULATION Z)</w:t>
        </w:r>
      </w:hyperlink>
      <w:r w:rsidRPr="00944995">
        <w:rPr>
          <w:sz w:val="16"/>
          <w:szCs w:val="16"/>
        </w:rPr>
        <w:t xml:space="preserve">  CFR 12 Part </w:t>
      </w:r>
      <w:hyperlink r:id="rId20" w:anchor="12:8.0.2.10.18.5.1.6" w:history="1">
        <w:r w:rsidRPr="00944995">
          <w:rPr>
            <w:rStyle w:val="Hyperlink"/>
            <w:sz w:val="16"/>
            <w:szCs w:val="16"/>
          </w:rPr>
          <w:t>§ 1026.35</w:t>
        </w:r>
      </w:hyperlink>
    </w:p>
  </w:footnote>
  <w:footnote w:id="26">
    <w:p w:rsidR="00B84BB8" w:rsidRPr="00333F58" w:rsidRDefault="00B84BB8">
      <w:pPr>
        <w:pStyle w:val="FootnoteText"/>
        <w:rPr>
          <w:sz w:val="16"/>
          <w:szCs w:val="16"/>
        </w:rPr>
      </w:pPr>
      <w:r w:rsidRPr="00944995">
        <w:rPr>
          <w:rStyle w:val="FootnoteReference"/>
          <w:sz w:val="16"/>
          <w:szCs w:val="16"/>
        </w:rPr>
        <w:footnoteRef/>
      </w:r>
      <w:r w:rsidRPr="00944995">
        <w:rPr>
          <w:sz w:val="16"/>
          <w:szCs w:val="16"/>
        </w:rPr>
        <w:t xml:space="preserve">  </w:t>
      </w:r>
      <w:hyperlink r:id="rId21" w:history="1">
        <w:r w:rsidRPr="00944995">
          <w:rPr>
            <w:rStyle w:val="Hyperlink"/>
            <w:sz w:val="16"/>
            <w:szCs w:val="16"/>
          </w:rPr>
          <w:t>TRUTH IN LENDING (REGULATION Z)</w:t>
        </w:r>
      </w:hyperlink>
      <w:r w:rsidRPr="00944995">
        <w:rPr>
          <w:sz w:val="16"/>
          <w:szCs w:val="16"/>
        </w:rPr>
        <w:t>  CFR 12 Part §1026.35(a) Prohibited acts or practices in connection with higher-priced mortgage loans</w:t>
      </w:r>
    </w:p>
  </w:footnote>
  <w:footnote w:id="27">
    <w:p w:rsidR="00B84BB8" w:rsidRDefault="00B84BB8">
      <w:pPr>
        <w:pStyle w:val="FootnoteText"/>
      </w:pPr>
      <w:r>
        <w:rPr>
          <w:rStyle w:val="FootnoteReference"/>
        </w:rPr>
        <w:footnoteRef/>
      </w:r>
      <w:r w:rsidRPr="00944995">
        <w:rPr>
          <w:sz w:val="16"/>
          <w:szCs w:val="16"/>
        </w:rPr>
        <w:t xml:space="preserve">  </w:t>
      </w:r>
      <w:hyperlink r:id="rId22" w:history="1">
        <w:r w:rsidRPr="00944995">
          <w:rPr>
            <w:rStyle w:val="Hyperlink"/>
            <w:sz w:val="16"/>
            <w:szCs w:val="16"/>
          </w:rPr>
          <w:t>TRUTH IN LENDING (REGULATION Z)</w:t>
        </w:r>
      </w:hyperlink>
      <w:r w:rsidRPr="00944995">
        <w:rPr>
          <w:sz w:val="16"/>
          <w:szCs w:val="16"/>
        </w:rPr>
        <w:t xml:space="preserve">  CFR 12 Part </w:t>
      </w:r>
      <w:r w:rsidRPr="00944995">
        <w:rPr>
          <w:bCs/>
          <w:sz w:val="16"/>
          <w:szCs w:val="16"/>
        </w:rPr>
        <w:t>§ 1026.35 (e) </w:t>
      </w:r>
      <w:r w:rsidRPr="00944995">
        <w:rPr>
          <w:bCs/>
          <w:iCs/>
          <w:sz w:val="16"/>
          <w:szCs w:val="16"/>
        </w:rPr>
        <w:t>Repayment ability(1)-(3)</w:t>
      </w:r>
    </w:p>
  </w:footnote>
  <w:footnote w:id="28">
    <w:p w:rsidR="00B84BB8" w:rsidRPr="00B870C2" w:rsidRDefault="00B84BB8">
      <w:pPr>
        <w:pStyle w:val="FootnoteText"/>
        <w:rPr>
          <w:sz w:val="16"/>
          <w:szCs w:val="16"/>
        </w:rPr>
      </w:pPr>
      <w:r w:rsidRPr="00944995">
        <w:rPr>
          <w:rStyle w:val="FootnoteReference"/>
          <w:sz w:val="16"/>
          <w:szCs w:val="16"/>
        </w:rPr>
        <w:footnoteRef/>
      </w:r>
      <w:r w:rsidRPr="00944995">
        <w:rPr>
          <w:sz w:val="16"/>
          <w:szCs w:val="16"/>
        </w:rPr>
        <w:t xml:space="preserve">  </w:t>
      </w:r>
      <w:hyperlink r:id="rId23" w:history="1">
        <w:r w:rsidRPr="00944995">
          <w:rPr>
            <w:rStyle w:val="Hyperlink"/>
            <w:sz w:val="16"/>
            <w:szCs w:val="16"/>
          </w:rPr>
          <w:t>TRUTH IN LENDING (REGULATION Z)</w:t>
        </w:r>
      </w:hyperlink>
      <w:r w:rsidRPr="00944995">
        <w:rPr>
          <w:sz w:val="16"/>
          <w:szCs w:val="16"/>
        </w:rPr>
        <w:t xml:space="preserve">  CFR 12 Part </w:t>
      </w:r>
      <w:r w:rsidRPr="00944995">
        <w:rPr>
          <w:bCs/>
          <w:sz w:val="16"/>
          <w:szCs w:val="16"/>
        </w:rPr>
        <w:t>§ 1026.35 (c) </w:t>
      </w:r>
      <w:r w:rsidRPr="00944995">
        <w:rPr>
          <w:bCs/>
          <w:iCs/>
          <w:sz w:val="16"/>
          <w:szCs w:val="16"/>
        </w:rPr>
        <w:t>Appraisals for higher-priced mortgage loans (1)</w:t>
      </w:r>
      <w:r>
        <w:rPr>
          <w:bCs/>
          <w:iCs/>
          <w:sz w:val="16"/>
          <w:szCs w:val="16"/>
        </w:rPr>
        <w:t>-</w:t>
      </w:r>
      <w:r w:rsidRPr="00944995">
        <w:rPr>
          <w:bCs/>
          <w:iCs/>
          <w:sz w:val="16"/>
          <w:szCs w:val="16"/>
        </w:rPr>
        <w:t>(3)</w:t>
      </w:r>
      <w:r>
        <w:rPr>
          <w:bCs/>
          <w:iCs/>
          <w:sz w:val="16"/>
          <w:szCs w:val="16"/>
        </w:rPr>
        <w:t xml:space="preserve"> effective January 10, 2014</w:t>
      </w:r>
    </w:p>
  </w:footnote>
  <w:footnote w:id="29">
    <w:p w:rsidR="00B84BB8" w:rsidRDefault="00B84BB8">
      <w:pPr>
        <w:pStyle w:val="FootnoteText"/>
        <w:tabs>
          <w:tab w:val="center" w:pos="5400"/>
        </w:tabs>
      </w:pPr>
      <w:r>
        <w:rPr>
          <w:rStyle w:val="FootnoteReference"/>
        </w:rPr>
        <w:footnoteRef/>
      </w:r>
      <w:r>
        <w:t xml:space="preserve"> </w:t>
      </w:r>
      <w:r w:rsidRPr="00944995">
        <w:rPr>
          <w:sz w:val="16"/>
          <w:szCs w:val="16"/>
        </w:rPr>
        <w:t xml:space="preserve"> </w:t>
      </w:r>
      <w:hyperlink r:id="rId24" w:history="1">
        <w:r w:rsidRPr="00944995">
          <w:rPr>
            <w:rStyle w:val="Hyperlink"/>
            <w:sz w:val="16"/>
            <w:szCs w:val="16"/>
          </w:rPr>
          <w:t>TRUTH IN LENDING (REGULATION Z)</w:t>
        </w:r>
      </w:hyperlink>
      <w:r w:rsidRPr="00944995">
        <w:rPr>
          <w:sz w:val="16"/>
          <w:szCs w:val="16"/>
        </w:rPr>
        <w:t xml:space="preserve">  CFR 12 Part </w:t>
      </w:r>
      <w:r w:rsidRPr="00944995">
        <w:rPr>
          <w:bCs/>
          <w:sz w:val="16"/>
          <w:szCs w:val="16"/>
        </w:rPr>
        <w:t>§ 1026.32 (a)(1)(i)(ii)</w:t>
      </w:r>
      <w:r>
        <w:rPr>
          <w:bCs/>
          <w:sz w:val="16"/>
          <w:szCs w:val="16"/>
        </w:rPr>
        <w:tab/>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BB8" w:rsidRDefault="00B84BB8" w:rsidP="00733FA5">
    <w:pPr>
      <w:pStyle w:val="Header"/>
      <w:jc w:val="right"/>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BB8" w:rsidRPr="0055176B" w:rsidRDefault="00B84BB8" w:rsidP="00733FA5">
    <w:pPr>
      <w:pStyle w:val="Header"/>
      <w:jc w:val="right"/>
      <w:rPr>
        <w:rFonts w:ascii="Humnst777 Lt BT" w:hAnsi="Humnst777 Lt BT"/>
        <w:b/>
        <w:color w:val="17365D" w:themeColor="text2" w:themeShade="BF"/>
      </w:rPr>
    </w:pPr>
    <w:r w:rsidRPr="0055176B">
      <w:rPr>
        <w:b/>
        <w:noProof/>
      </w:rPr>
      <w:drawing>
        <wp:anchor distT="0" distB="0" distL="114300" distR="114300" simplePos="0" relativeHeight="251675648" behindDoc="0" locked="0" layoutInCell="1" allowOverlap="1">
          <wp:simplePos x="0" y="0"/>
          <wp:positionH relativeFrom="column">
            <wp:posOffset>337185</wp:posOffset>
          </wp:positionH>
          <wp:positionV relativeFrom="paragraph">
            <wp:posOffset>-180340</wp:posOffset>
          </wp:positionV>
          <wp:extent cx="1233805" cy="640080"/>
          <wp:effectExtent l="19050" t="0" r="4445" b="0"/>
          <wp:wrapThrough wrapText="bothSides">
            <wp:wrapPolygon edited="0">
              <wp:start x="-334" y="0"/>
              <wp:lineTo x="-334" y="21214"/>
              <wp:lineTo x="21678" y="21214"/>
              <wp:lineTo x="21678" y="0"/>
              <wp:lineTo x="-334" y="0"/>
            </wp:wrapPolygon>
          </wp:wrapThrough>
          <wp:docPr id="5" name="Picture 4" descr="logo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Small.jpg"/>
                  <pic:cNvPicPr>
                    <a:picLocks noChangeAspect="1" noChangeArrowheads="1"/>
                  </pic:cNvPicPr>
                </pic:nvPicPr>
                <pic:blipFill>
                  <a:blip r:embed="rId1"/>
                  <a:stretch>
                    <a:fillRect/>
                  </a:stretch>
                </pic:blipFill>
                <pic:spPr bwMode="auto">
                  <a:xfrm>
                    <a:off x="0" y="0"/>
                    <a:ext cx="1233805" cy="640080"/>
                  </a:xfrm>
                  <a:prstGeom prst="rect">
                    <a:avLst/>
                  </a:prstGeom>
                  <a:noFill/>
                  <a:ln w="9525">
                    <a:noFill/>
                    <a:miter lim="800000"/>
                    <a:headEnd/>
                    <a:tailEnd/>
                  </a:ln>
                </pic:spPr>
              </pic:pic>
            </a:graphicData>
          </a:graphic>
        </wp:anchor>
      </w:drawing>
    </w:r>
    <w:r w:rsidRPr="0055176B">
      <w:rPr>
        <w:rFonts w:ascii="Humnst777 Lt BT" w:hAnsi="Humnst777 Lt BT"/>
        <w:b/>
        <w:color w:val="17365D" w:themeColor="text2" w:themeShade="BF"/>
      </w:rPr>
      <w:t xml:space="preserve"> Federal Law 100 – TILA</w:t>
    </w:r>
  </w:p>
  <w:p w:rsidR="00B84BB8" w:rsidRDefault="00B84BB8" w:rsidP="004437F8">
    <w:pPr>
      <w:pStyle w:val="Header"/>
      <w:jc w:val="right"/>
      <w:rPr>
        <w:rFonts w:ascii="Humnst777 Lt BT" w:hAnsi="Humnst777 Lt BT"/>
        <w:color w:val="17365D"/>
      </w:rPr>
    </w:pPr>
    <w:r>
      <w:rPr>
        <w:rFonts w:ascii="Humnst777 Lt BT" w:hAnsi="Humnst777 Lt BT"/>
        <w:color w:val="17365D"/>
      </w:rPr>
      <w:t>HOEPA Regulations for All Mortgages</w:t>
    </w:r>
  </w:p>
  <w:p w:rsidR="00B84BB8" w:rsidRPr="00733FA5" w:rsidRDefault="00B84BB8" w:rsidP="00733FA5">
    <w:pPr>
      <w:pStyle w:val="Header"/>
      <w:jc w:val="right"/>
      <w:rPr>
        <w:rFonts w:ascii="Humnst777 Lt BT" w:hAnsi="Humnst777 Lt BT"/>
        <w:color w:val="17365D" w:themeColor="text2" w:themeShade="BF"/>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BB8" w:rsidRPr="0055176B" w:rsidRDefault="00B84BB8" w:rsidP="00733FA5">
    <w:pPr>
      <w:pStyle w:val="Header"/>
      <w:jc w:val="right"/>
      <w:rPr>
        <w:rFonts w:ascii="Humnst777 Lt BT" w:hAnsi="Humnst777 Lt BT"/>
        <w:b/>
        <w:color w:val="17365D" w:themeColor="text2" w:themeShade="BF"/>
      </w:rPr>
    </w:pPr>
    <w:r w:rsidRPr="0055176B">
      <w:rPr>
        <w:b/>
        <w:noProof/>
      </w:rPr>
      <w:drawing>
        <wp:anchor distT="0" distB="0" distL="114300" distR="114300" simplePos="0" relativeHeight="251677696" behindDoc="0" locked="0" layoutInCell="1" allowOverlap="1">
          <wp:simplePos x="0" y="0"/>
          <wp:positionH relativeFrom="column">
            <wp:posOffset>337185</wp:posOffset>
          </wp:positionH>
          <wp:positionV relativeFrom="paragraph">
            <wp:posOffset>-180340</wp:posOffset>
          </wp:positionV>
          <wp:extent cx="1233805" cy="640080"/>
          <wp:effectExtent l="19050" t="0" r="4445" b="0"/>
          <wp:wrapThrough wrapText="bothSides">
            <wp:wrapPolygon edited="0">
              <wp:start x="-334" y="0"/>
              <wp:lineTo x="-334" y="21214"/>
              <wp:lineTo x="21678" y="21214"/>
              <wp:lineTo x="21678" y="0"/>
              <wp:lineTo x="-334" y="0"/>
            </wp:wrapPolygon>
          </wp:wrapThrough>
          <wp:docPr id="19" name="Picture 4" descr="logo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Small.jpg"/>
                  <pic:cNvPicPr>
                    <a:picLocks noChangeAspect="1" noChangeArrowheads="1"/>
                  </pic:cNvPicPr>
                </pic:nvPicPr>
                <pic:blipFill>
                  <a:blip r:embed="rId1"/>
                  <a:stretch>
                    <a:fillRect/>
                  </a:stretch>
                </pic:blipFill>
                <pic:spPr bwMode="auto">
                  <a:xfrm>
                    <a:off x="0" y="0"/>
                    <a:ext cx="1233805" cy="640080"/>
                  </a:xfrm>
                  <a:prstGeom prst="rect">
                    <a:avLst/>
                  </a:prstGeom>
                  <a:noFill/>
                  <a:ln w="9525">
                    <a:noFill/>
                    <a:miter lim="800000"/>
                    <a:headEnd/>
                    <a:tailEnd/>
                  </a:ln>
                </pic:spPr>
              </pic:pic>
            </a:graphicData>
          </a:graphic>
        </wp:anchor>
      </w:drawing>
    </w:r>
    <w:r w:rsidRPr="0055176B">
      <w:rPr>
        <w:rFonts w:ascii="Humnst777 Lt BT" w:hAnsi="Humnst777 Lt BT"/>
        <w:b/>
        <w:color w:val="17365D" w:themeColor="text2" w:themeShade="BF"/>
      </w:rPr>
      <w:t xml:space="preserve"> Federal Law 100 – TILA</w:t>
    </w:r>
  </w:p>
  <w:p w:rsidR="00B84BB8" w:rsidRDefault="00B84BB8" w:rsidP="00D159F0">
    <w:pPr>
      <w:pStyle w:val="Header"/>
      <w:jc w:val="right"/>
      <w:rPr>
        <w:rFonts w:ascii="Humnst777 Lt BT" w:hAnsi="Humnst777 Lt BT"/>
        <w:color w:val="17365D"/>
      </w:rPr>
    </w:pPr>
    <w:r>
      <w:rPr>
        <w:rFonts w:ascii="Humnst777 Lt BT" w:hAnsi="Humnst777 Lt BT"/>
        <w:color w:val="17365D"/>
      </w:rPr>
      <w:t>Higher-Priced Mortgages</w:t>
    </w:r>
  </w:p>
  <w:p w:rsidR="00B84BB8" w:rsidRPr="00733FA5" w:rsidRDefault="00B84BB8" w:rsidP="00733FA5">
    <w:pPr>
      <w:pStyle w:val="Header"/>
      <w:jc w:val="right"/>
      <w:rPr>
        <w:rFonts w:ascii="Humnst777 Lt BT" w:hAnsi="Humnst777 Lt BT"/>
        <w:color w:val="17365D" w:themeColor="text2" w:themeShade="BF"/>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BB8" w:rsidRPr="0055176B" w:rsidRDefault="00B84BB8" w:rsidP="00733FA5">
    <w:pPr>
      <w:pStyle w:val="Header"/>
      <w:jc w:val="right"/>
      <w:rPr>
        <w:rFonts w:ascii="Humnst777 Lt BT" w:hAnsi="Humnst777 Lt BT"/>
        <w:b/>
        <w:color w:val="17365D" w:themeColor="text2" w:themeShade="BF"/>
      </w:rPr>
    </w:pPr>
    <w:r w:rsidRPr="0055176B">
      <w:rPr>
        <w:b/>
        <w:noProof/>
      </w:rPr>
      <w:drawing>
        <wp:anchor distT="0" distB="0" distL="114300" distR="114300" simplePos="0" relativeHeight="251679744" behindDoc="0" locked="0" layoutInCell="1" allowOverlap="1">
          <wp:simplePos x="0" y="0"/>
          <wp:positionH relativeFrom="column">
            <wp:posOffset>337185</wp:posOffset>
          </wp:positionH>
          <wp:positionV relativeFrom="paragraph">
            <wp:posOffset>-180340</wp:posOffset>
          </wp:positionV>
          <wp:extent cx="1233805" cy="640080"/>
          <wp:effectExtent l="19050" t="0" r="4445" b="0"/>
          <wp:wrapThrough wrapText="bothSides">
            <wp:wrapPolygon edited="0">
              <wp:start x="-334" y="0"/>
              <wp:lineTo x="-334" y="21214"/>
              <wp:lineTo x="21678" y="21214"/>
              <wp:lineTo x="21678" y="0"/>
              <wp:lineTo x="-334" y="0"/>
            </wp:wrapPolygon>
          </wp:wrapThrough>
          <wp:docPr id="20" name="Picture 4" descr="logo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Small.jpg"/>
                  <pic:cNvPicPr>
                    <a:picLocks noChangeAspect="1" noChangeArrowheads="1"/>
                  </pic:cNvPicPr>
                </pic:nvPicPr>
                <pic:blipFill>
                  <a:blip r:embed="rId1"/>
                  <a:stretch>
                    <a:fillRect/>
                  </a:stretch>
                </pic:blipFill>
                <pic:spPr bwMode="auto">
                  <a:xfrm>
                    <a:off x="0" y="0"/>
                    <a:ext cx="1233805" cy="640080"/>
                  </a:xfrm>
                  <a:prstGeom prst="rect">
                    <a:avLst/>
                  </a:prstGeom>
                  <a:noFill/>
                  <a:ln w="9525">
                    <a:noFill/>
                    <a:miter lim="800000"/>
                    <a:headEnd/>
                    <a:tailEnd/>
                  </a:ln>
                </pic:spPr>
              </pic:pic>
            </a:graphicData>
          </a:graphic>
        </wp:anchor>
      </w:drawing>
    </w:r>
    <w:r w:rsidRPr="0055176B">
      <w:rPr>
        <w:rFonts w:ascii="Humnst777 Lt BT" w:hAnsi="Humnst777 Lt BT"/>
        <w:b/>
        <w:color w:val="17365D" w:themeColor="text2" w:themeShade="BF"/>
      </w:rPr>
      <w:t xml:space="preserve"> Federal Law 100 – TILA</w:t>
    </w:r>
  </w:p>
  <w:p w:rsidR="00B84BB8" w:rsidRDefault="00B84BB8" w:rsidP="002C40FD">
    <w:pPr>
      <w:pStyle w:val="Header"/>
      <w:jc w:val="right"/>
      <w:rPr>
        <w:rFonts w:ascii="Humnst777 Lt BT" w:hAnsi="Humnst777 Lt BT"/>
        <w:color w:val="17365D"/>
      </w:rPr>
    </w:pPr>
    <w:r>
      <w:rPr>
        <w:rFonts w:ascii="Humnst777 Lt BT" w:hAnsi="Humnst777 Lt BT"/>
        <w:color w:val="17365D"/>
      </w:rPr>
      <w:t>High-Cost Mortgages</w:t>
    </w:r>
  </w:p>
  <w:p w:rsidR="00B84BB8" w:rsidRDefault="00B84BB8" w:rsidP="00733FA5">
    <w:pPr>
      <w:pStyle w:val="Header"/>
      <w:jc w:val="right"/>
      <w:rPr>
        <w:rFonts w:ascii="Humnst777 Lt BT" w:hAnsi="Humnst777 Lt BT"/>
        <w:color w:val="17365D" w:themeColor="text2" w:themeShade="BF"/>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BB8" w:rsidRPr="0055176B" w:rsidRDefault="00B84BB8" w:rsidP="00733FA5">
    <w:pPr>
      <w:pStyle w:val="Header"/>
      <w:jc w:val="right"/>
      <w:rPr>
        <w:rFonts w:ascii="Humnst777 Lt BT" w:hAnsi="Humnst777 Lt BT"/>
        <w:b/>
        <w:color w:val="17365D" w:themeColor="text2" w:themeShade="BF"/>
      </w:rPr>
    </w:pPr>
    <w:r>
      <w:rPr>
        <w:noProof/>
      </w:rPr>
      <w:drawing>
        <wp:anchor distT="0" distB="0" distL="114300" distR="114300" simplePos="0" relativeHeight="251661312" behindDoc="0" locked="0" layoutInCell="1" allowOverlap="1">
          <wp:simplePos x="0" y="0"/>
          <wp:positionH relativeFrom="column">
            <wp:posOffset>337185</wp:posOffset>
          </wp:positionH>
          <wp:positionV relativeFrom="paragraph">
            <wp:posOffset>-180340</wp:posOffset>
          </wp:positionV>
          <wp:extent cx="1200150" cy="636905"/>
          <wp:effectExtent l="19050" t="0" r="0" b="0"/>
          <wp:wrapThrough wrapText="bothSides">
            <wp:wrapPolygon edited="0">
              <wp:start x="-343" y="0"/>
              <wp:lineTo x="-343" y="20674"/>
              <wp:lineTo x="21600" y="20674"/>
              <wp:lineTo x="21600" y="0"/>
              <wp:lineTo x="-343" y="0"/>
            </wp:wrapPolygon>
          </wp:wrapThrough>
          <wp:docPr id="23" name="Picture 4" descr="logo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Small.jpg"/>
                  <pic:cNvPicPr>
                    <a:picLocks noChangeAspect="1" noChangeArrowheads="1"/>
                  </pic:cNvPicPr>
                </pic:nvPicPr>
                <pic:blipFill>
                  <a:blip r:embed="rId1"/>
                  <a:stretch>
                    <a:fillRect/>
                  </a:stretch>
                </pic:blipFill>
                <pic:spPr bwMode="auto">
                  <a:xfrm>
                    <a:off x="0" y="0"/>
                    <a:ext cx="1200150" cy="636905"/>
                  </a:xfrm>
                  <a:prstGeom prst="rect">
                    <a:avLst/>
                  </a:prstGeom>
                  <a:noFill/>
                  <a:ln w="9525">
                    <a:noFill/>
                    <a:miter lim="800000"/>
                    <a:headEnd/>
                    <a:tailEnd/>
                  </a:ln>
                </pic:spPr>
              </pic:pic>
            </a:graphicData>
          </a:graphic>
        </wp:anchor>
      </w:drawing>
    </w:r>
    <w:r w:rsidRPr="00B9765D">
      <w:rPr>
        <w:rFonts w:ascii="Humnst777 Lt BT" w:hAnsi="Humnst777 Lt BT"/>
        <w:color w:val="17365D" w:themeColor="text2" w:themeShade="BF"/>
      </w:rPr>
      <w:t xml:space="preserve"> </w:t>
    </w:r>
    <w:r w:rsidRPr="0055176B">
      <w:rPr>
        <w:rFonts w:ascii="Humnst777 Lt BT" w:hAnsi="Humnst777 Lt BT"/>
        <w:b/>
        <w:color w:val="17365D" w:themeColor="text2" w:themeShade="BF"/>
      </w:rPr>
      <w:t>Federal Law 100 – TILA</w:t>
    </w:r>
  </w:p>
  <w:p w:rsidR="00B84BB8" w:rsidRDefault="00B84BB8" w:rsidP="00733FA5">
    <w:pPr>
      <w:pStyle w:val="Header"/>
      <w:jc w:val="right"/>
      <w:rPr>
        <w:rFonts w:ascii="Humnst777 Lt BT" w:hAnsi="Humnst777 Lt BT"/>
        <w:color w:val="17365D" w:themeColor="text2" w:themeShade="BF"/>
      </w:rPr>
    </w:pPr>
    <w:r>
      <w:rPr>
        <w:rFonts w:ascii="Humnst777 Lt BT" w:hAnsi="Humnst777 Lt BT"/>
        <w:color w:val="17365D" w:themeColor="text2" w:themeShade="BF"/>
      </w:rPr>
      <w:t>Overview</w:t>
    </w:r>
  </w:p>
  <w:p w:rsidR="00B84BB8" w:rsidRDefault="00B84BB8" w:rsidP="00733FA5">
    <w:pPr>
      <w:pStyle w:val="Header"/>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BB8" w:rsidRPr="0055176B" w:rsidRDefault="00B84BB8" w:rsidP="00733FA5">
    <w:pPr>
      <w:pStyle w:val="Header"/>
      <w:jc w:val="right"/>
      <w:rPr>
        <w:rFonts w:ascii="Humnst777 Lt BT" w:hAnsi="Humnst777 Lt BT"/>
        <w:b/>
        <w:color w:val="17365D" w:themeColor="text2" w:themeShade="BF"/>
      </w:rPr>
    </w:pPr>
    <w:r>
      <w:rPr>
        <w:noProof/>
      </w:rPr>
      <w:drawing>
        <wp:anchor distT="0" distB="0" distL="114300" distR="114300" simplePos="0" relativeHeight="251681792" behindDoc="0" locked="0" layoutInCell="1" allowOverlap="1">
          <wp:simplePos x="0" y="0"/>
          <wp:positionH relativeFrom="column">
            <wp:posOffset>337185</wp:posOffset>
          </wp:positionH>
          <wp:positionV relativeFrom="paragraph">
            <wp:posOffset>-180340</wp:posOffset>
          </wp:positionV>
          <wp:extent cx="1233805" cy="640080"/>
          <wp:effectExtent l="19050" t="0" r="4445" b="0"/>
          <wp:wrapThrough wrapText="bothSides">
            <wp:wrapPolygon edited="0">
              <wp:start x="-334" y="0"/>
              <wp:lineTo x="-334" y="21214"/>
              <wp:lineTo x="21678" y="21214"/>
              <wp:lineTo x="21678" y="0"/>
              <wp:lineTo x="-334" y="0"/>
            </wp:wrapPolygon>
          </wp:wrapThrough>
          <wp:docPr id="2" name="Picture 4" descr="logo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Small.jpg"/>
                  <pic:cNvPicPr>
                    <a:picLocks noChangeAspect="1" noChangeArrowheads="1"/>
                  </pic:cNvPicPr>
                </pic:nvPicPr>
                <pic:blipFill>
                  <a:blip r:embed="rId1"/>
                  <a:stretch>
                    <a:fillRect/>
                  </a:stretch>
                </pic:blipFill>
                <pic:spPr bwMode="auto">
                  <a:xfrm>
                    <a:off x="0" y="0"/>
                    <a:ext cx="1233805" cy="640080"/>
                  </a:xfrm>
                  <a:prstGeom prst="rect">
                    <a:avLst/>
                  </a:prstGeom>
                  <a:noFill/>
                  <a:ln w="9525">
                    <a:noFill/>
                    <a:miter lim="800000"/>
                    <a:headEnd/>
                    <a:tailEnd/>
                  </a:ln>
                </pic:spPr>
              </pic:pic>
            </a:graphicData>
          </a:graphic>
        </wp:anchor>
      </w:drawing>
    </w:r>
    <w:r w:rsidRPr="00B9765D">
      <w:rPr>
        <w:rFonts w:ascii="Humnst777 Lt BT" w:hAnsi="Humnst777 Lt BT"/>
        <w:color w:val="17365D" w:themeColor="text2" w:themeShade="BF"/>
      </w:rPr>
      <w:t xml:space="preserve"> </w:t>
    </w:r>
    <w:r w:rsidRPr="0055176B">
      <w:rPr>
        <w:rFonts w:ascii="Humnst777 Lt BT" w:hAnsi="Humnst777 Lt BT"/>
        <w:b/>
        <w:color w:val="17365D" w:themeColor="text2" w:themeShade="BF"/>
      </w:rPr>
      <w:t>Federal Law 100 – TILA</w:t>
    </w:r>
  </w:p>
  <w:p w:rsidR="00B84BB8" w:rsidRDefault="00B84BB8" w:rsidP="00733FA5">
    <w:pPr>
      <w:pStyle w:val="Header"/>
      <w:jc w:val="right"/>
      <w:rPr>
        <w:rFonts w:ascii="Humnst777 Lt BT" w:hAnsi="Humnst777 Lt BT"/>
        <w:color w:val="17365D" w:themeColor="text2" w:themeShade="BF"/>
      </w:rPr>
    </w:pPr>
    <w:r>
      <w:rPr>
        <w:rFonts w:ascii="Humnst777 Lt BT" w:hAnsi="Humnst777 Lt BT"/>
        <w:color w:val="17365D" w:themeColor="text2" w:themeShade="BF"/>
      </w:rPr>
      <w:t>Introduction and TILA Overview</w:t>
    </w:r>
  </w:p>
  <w:p w:rsidR="00B84BB8" w:rsidRDefault="00B84BB8" w:rsidP="00733FA5">
    <w:pPr>
      <w:pStyle w:val="Header"/>
      <w:jc w:val="righ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BB8" w:rsidRPr="0055176B" w:rsidRDefault="00B84BB8" w:rsidP="00733FA5">
    <w:pPr>
      <w:pStyle w:val="Header"/>
      <w:jc w:val="right"/>
      <w:rPr>
        <w:rFonts w:ascii="Humnst777 Lt BT" w:hAnsi="Humnst777 Lt BT"/>
        <w:b/>
        <w:color w:val="17365D" w:themeColor="text2" w:themeShade="BF"/>
      </w:rPr>
    </w:pPr>
    <w:r>
      <w:rPr>
        <w:noProof/>
      </w:rPr>
      <w:drawing>
        <wp:anchor distT="0" distB="0" distL="114300" distR="114300" simplePos="0" relativeHeight="251663360" behindDoc="0" locked="0" layoutInCell="1" allowOverlap="1">
          <wp:simplePos x="0" y="0"/>
          <wp:positionH relativeFrom="column">
            <wp:posOffset>337185</wp:posOffset>
          </wp:positionH>
          <wp:positionV relativeFrom="paragraph">
            <wp:posOffset>-180340</wp:posOffset>
          </wp:positionV>
          <wp:extent cx="1233805" cy="640080"/>
          <wp:effectExtent l="19050" t="0" r="4445" b="0"/>
          <wp:wrapThrough wrapText="bothSides">
            <wp:wrapPolygon edited="0">
              <wp:start x="-334" y="0"/>
              <wp:lineTo x="-334" y="21214"/>
              <wp:lineTo x="21678" y="21214"/>
              <wp:lineTo x="21678" y="0"/>
              <wp:lineTo x="-334" y="0"/>
            </wp:wrapPolygon>
          </wp:wrapThrough>
          <wp:docPr id="7" name="Picture 4" descr="logo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Small.jpg"/>
                  <pic:cNvPicPr>
                    <a:picLocks noChangeAspect="1" noChangeArrowheads="1"/>
                  </pic:cNvPicPr>
                </pic:nvPicPr>
                <pic:blipFill>
                  <a:blip r:embed="rId1"/>
                  <a:stretch>
                    <a:fillRect/>
                  </a:stretch>
                </pic:blipFill>
                <pic:spPr bwMode="auto">
                  <a:xfrm>
                    <a:off x="0" y="0"/>
                    <a:ext cx="1233805" cy="640080"/>
                  </a:xfrm>
                  <a:prstGeom prst="rect">
                    <a:avLst/>
                  </a:prstGeom>
                  <a:noFill/>
                  <a:ln w="9525">
                    <a:noFill/>
                    <a:miter lim="800000"/>
                    <a:headEnd/>
                    <a:tailEnd/>
                  </a:ln>
                </pic:spPr>
              </pic:pic>
            </a:graphicData>
          </a:graphic>
        </wp:anchor>
      </w:drawing>
    </w:r>
    <w:r w:rsidRPr="00B9765D">
      <w:rPr>
        <w:rFonts w:ascii="Humnst777 Lt BT" w:hAnsi="Humnst777 Lt BT"/>
        <w:color w:val="17365D" w:themeColor="text2" w:themeShade="BF"/>
      </w:rPr>
      <w:t xml:space="preserve"> </w:t>
    </w:r>
    <w:r w:rsidRPr="0055176B">
      <w:rPr>
        <w:rFonts w:ascii="Humnst777 Lt BT" w:hAnsi="Humnst777 Lt BT"/>
        <w:b/>
        <w:color w:val="17365D" w:themeColor="text2" w:themeShade="BF"/>
      </w:rPr>
      <w:t>Federal Law 100 – TILA</w:t>
    </w:r>
  </w:p>
  <w:p w:rsidR="00B84BB8" w:rsidRDefault="00B84BB8" w:rsidP="00DE6D2D">
    <w:pPr>
      <w:pStyle w:val="Header"/>
      <w:jc w:val="right"/>
    </w:pPr>
    <w:r>
      <w:rPr>
        <w:rFonts w:ascii="Humnst777 Lt BT" w:hAnsi="Humnst777 Lt BT"/>
        <w:color w:val="17365D"/>
      </w:rPr>
      <w:t>APR and Finance Charge Disclosure</w:t>
    </w:r>
  </w:p>
  <w:p w:rsidR="00B84BB8" w:rsidRDefault="00B84BB8" w:rsidP="00DE6D2D">
    <w:pPr>
      <w:pStyle w:val="Header"/>
    </w:pPr>
  </w:p>
  <w:p w:rsidR="00B84BB8" w:rsidRDefault="00B84BB8" w:rsidP="00733FA5">
    <w:pPr>
      <w:pStyle w:val="Header"/>
      <w:jc w:val="righ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BB8" w:rsidRPr="0055176B" w:rsidRDefault="00B84BB8" w:rsidP="00733FA5">
    <w:pPr>
      <w:pStyle w:val="Header"/>
      <w:jc w:val="right"/>
      <w:rPr>
        <w:rFonts w:ascii="Humnst777 Lt BT" w:hAnsi="Humnst777 Lt BT"/>
        <w:b/>
        <w:color w:val="17365D" w:themeColor="text2" w:themeShade="BF"/>
      </w:rPr>
    </w:pPr>
    <w:r>
      <w:rPr>
        <w:noProof/>
      </w:rPr>
      <w:drawing>
        <wp:anchor distT="0" distB="0" distL="114300" distR="114300" simplePos="0" relativeHeight="251665408" behindDoc="0" locked="0" layoutInCell="1" allowOverlap="1">
          <wp:simplePos x="0" y="0"/>
          <wp:positionH relativeFrom="column">
            <wp:posOffset>337185</wp:posOffset>
          </wp:positionH>
          <wp:positionV relativeFrom="paragraph">
            <wp:posOffset>-180340</wp:posOffset>
          </wp:positionV>
          <wp:extent cx="1233805" cy="640080"/>
          <wp:effectExtent l="19050" t="0" r="4445" b="0"/>
          <wp:wrapThrough wrapText="bothSides">
            <wp:wrapPolygon edited="0">
              <wp:start x="-334" y="0"/>
              <wp:lineTo x="-334" y="21214"/>
              <wp:lineTo x="21678" y="21214"/>
              <wp:lineTo x="21678" y="0"/>
              <wp:lineTo x="-334" y="0"/>
            </wp:wrapPolygon>
          </wp:wrapThrough>
          <wp:docPr id="3" name="Picture 4" descr="logo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Small.jpg"/>
                  <pic:cNvPicPr>
                    <a:picLocks noChangeAspect="1" noChangeArrowheads="1"/>
                  </pic:cNvPicPr>
                </pic:nvPicPr>
                <pic:blipFill>
                  <a:blip r:embed="rId1"/>
                  <a:stretch>
                    <a:fillRect/>
                  </a:stretch>
                </pic:blipFill>
                <pic:spPr bwMode="auto">
                  <a:xfrm>
                    <a:off x="0" y="0"/>
                    <a:ext cx="1233805" cy="640080"/>
                  </a:xfrm>
                  <a:prstGeom prst="rect">
                    <a:avLst/>
                  </a:prstGeom>
                  <a:noFill/>
                  <a:ln w="9525">
                    <a:noFill/>
                    <a:miter lim="800000"/>
                    <a:headEnd/>
                    <a:tailEnd/>
                  </a:ln>
                </pic:spPr>
              </pic:pic>
            </a:graphicData>
          </a:graphic>
        </wp:anchor>
      </w:drawing>
    </w:r>
    <w:r w:rsidRPr="00B9765D">
      <w:rPr>
        <w:rFonts w:ascii="Humnst777 Lt BT" w:hAnsi="Humnst777 Lt BT"/>
        <w:color w:val="17365D" w:themeColor="text2" w:themeShade="BF"/>
      </w:rPr>
      <w:t xml:space="preserve"> </w:t>
    </w:r>
    <w:r w:rsidRPr="0055176B">
      <w:rPr>
        <w:rFonts w:ascii="Humnst777 Lt BT" w:hAnsi="Humnst777 Lt BT"/>
        <w:b/>
        <w:color w:val="17365D" w:themeColor="text2" w:themeShade="BF"/>
      </w:rPr>
      <w:t>Federal Law 100 – TILA</w:t>
    </w:r>
  </w:p>
  <w:p w:rsidR="00B84BB8" w:rsidRDefault="00B84BB8" w:rsidP="00CB666A">
    <w:pPr>
      <w:pStyle w:val="Header"/>
      <w:jc w:val="right"/>
      <w:rPr>
        <w:rFonts w:ascii="Humnst777 Lt BT" w:hAnsi="Humnst777 Lt BT"/>
        <w:color w:val="17365D"/>
      </w:rPr>
    </w:pPr>
    <w:r>
      <w:rPr>
        <w:rFonts w:ascii="Humnst777 Lt BT" w:hAnsi="Humnst777 Lt BT"/>
        <w:color w:val="17365D"/>
      </w:rPr>
      <w:t>Initial Early Disclosure Requirements</w:t>
    </w:r>
  </w:p>
  <w:p w:rsidR="00B84BB8" w:rsidRDefault="00B84BB8" w:rsidP="00733FA5">
    <w:pPr>
      <w:pStyle w:val="Header"/>
      <w:jc w:val="righ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BB8" w:rsidRPr="0055176B" w:rsidRDefault="00B84BB8" w:rsidP="00733FA5">
    <w:pPr>
      <w:pStyle w:val="Header"/>
      <w:jc w:val="right"/>
      <w:rPr>
        <w:rFonts w:ascii="Humnst777 Lt BT" w:hAnsi="Humnst777 Lt BT"/>
        <w:b/>
        <w:color w:val="17365D" w:themeColor="text2" w:themeShade="BF"/>
      </w:rPr>
    </w:pPr>
    <w:r>
      <w:rPr>
        <w:noProof/>
      </w:rPr>
      <w:drawing>
        <wp:anchor distT="0" distB="0" distL="114300" distR="114300" simplePos="0" relativeHeight="251667456" behindDoc="0" locked="0" layoutInCell="1" allowOverlap="1">
          <wp:simplePos x="0" y="0"/>
          <wp:positionH relativeFrom="column">
            <wp:posOffset>337185</wp:posOffset>
          </wp:positionH>
          <wp:positionV relativeFrom="paragraph">
            <wp:posOffset>-180340</wp:posOffset>
          </wp:positionV>
          <wp:extent cx="1233805" cy="640080"/>
          <wp:effectExtent l="19050" t="0" r="4445" b="0"/>
          <wp:wrapThrough wrapText="bothSides">
            <wp:wrapPolygon edited="0">
              <wp:start x="-334" y="0"/>
              <wp:lineTo x="-334" y="21214"/>
              <wp:lineTo x="21678" y="21214"/>
              <wp:lineTo x="21678" y="0"/>
              <wp:lineTo x="-334" y="0"/>
            </wp:wrapPolygon>
          </wp:wrapThrough>
          <wp:docPr id="6" name="Picture 4" descr="logo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Small.jpg"/>
                  <pic:cNvPicPr>
                    <a:picLocks noChangeAspect="1" noChangeArrowheads="1"/>
                  </pic:cNvPicPr>
                </pic:nvPicPr>
                <pic:blipFill>
                  <a:blip r:embed="rId1"/>
                  <a:stretch>
                    <a:fillRect/>
                  </a:stretch>
                </pic:blipFill>
                <pic:spPr bwMode="auto">
                  <a:xfrm>
                    <a:off x="0" y="0"/>
                    <a:ext cx="1233805" cy="640080"/>
                  </a:xfrm>
                  <a:prstGeom prst="rect">
                    <a:avLst/>
                  </a:prstGeom>
                  <a:noFill/>
                  <a:ln w="9525">
                    <a:noFill/>
                    <a:miter lim="800000"/>
                    <a:headEnd/>
                    <a:tailEnd/>
                  </a:ln>
                </pic:spPr>
              </pic:pic>
            </a:graphicData>
          </a:graphic>
        </wp:anchor>
      </w:drawing>
    </w:r>
    <w:r w:rsidRPr="00B9765D">
      <w:rPr>
        <w:rFonts w:ascii="Humnst777 Lt BT" w:hAnsi="Humnst777 Lt BT"/>
        <w:color w:val="17365D" w:themeColor="text2" w:themeShade="BF"/>
      </w:rPr>
      <w:t xml:space="preserve"> </w:t>
    </w:r>
    <w:r w:rsidRPr="0055176B">
      <w:rPr>
        <w:rFonts w:ascii="Humnst777 Lt BT" w:hAnsi="Humnst777 Lt BT"/>
        <w:b/>
        <w:color w:val="17365D" w:themeColor="text2" w:themeShade="BF"/>
      </w:rPr>
      <w:t>Federal Law 100 – TILA</w:t>
    </w:r>
  </w:p>
  <w:p w:rsidR="00B84BB8" w:rsidRDefault="00B84BB8" w:rsidP="002055C5">
    <w:pPr>
      <w:pStyle w:val="Header"/>
      <w:jc w:val="right"/>
      <w:rPr>
        <w:rFonts w:ascii="Humnst777 Lt BT" w:hAnsi="Humnst777 Lt BT"/>
        <w:color w:val="17365D"/>
      </w:rPr>
    </w:pPr>
    <w:r>
      <w:rPr>
        <w:rFonts w:ascii="Humnst777 Lt BT" w:hAnsi="Humnst777 Lt BT"/>
        <w:color w:val="17365D"/>
      </w:rPr>
      <w:t>The TILA Disclosure Statement</w:t>
    </w:r>
  </w:p>
  <w:p w:rsidR="00B84BB8" w:rsidRDefault="00B84BB8" w:rsidP="00733FA5">
    <w:pPr>
      <w:pStyle w:val="Header"/>
      <w:jc w:val="righ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BB8" w:rsidRPr="0055176B" w:rsidRDefault="00B84BB8" w:rsidP="00733FA5">
    <w:pPr>
      <w:pStyle w:val="Header"/>
      <w:jc w:val="right"/>
      <w:rPr>
        <w:rFonts w:ascii="Humnst777 Lt BT" w:hAnsi="Humnst777 Lt BT"/>
        <w:b/>
        <w:color w:val="17365D" w:themeColor="text2" w:themeShade="BF"/>
      </w:rPr>
    </w:pPr>
    <w:r>
      <w:rPr>
        <w:noProof/>
      </w:rPr>
      <w:drawing>
        <wp:anchor distT="0" distB="0" distL="114300" distR="114300" simplePos="0" relativeHeight="251669504" behindDoc="0" locked="0" layoutInCell="1" allowOverlap="1">
          <wp:simplePos x="0" y="0"/>
          <wp:positionH relativeFrom="column">
            <wp:posOffset>337185</wp:posOffset>
          </wp:positionH>
          <wp:positionV relativeFrom="paragraph">
            <wp:posOffset>-180340</wp:posOffset>
          </wp:positionV>
          <wp:extent cx="1233805" cy="640080"/>
          <wp:effectExtent l="19050" t="0" r="4445" b="0"/>
          <wp:wrapThrough wrapText="bothSides">
            <wp:wrapPolygon edited="0">
              <wp:start x="-334" y="0"/>
              <wp:lineTo x="-334" y="21214"/>
              <wp:lineTo x="21678" y="21214"/>
              <wp:lineTo x="21678" y="0"/>
              <wp:lineTo x="-334" y="0"/>
            </wp:wrapPolygon>
          </wp:wrapThrough>
          <wp:docPr id="15" name="Picture 4" descr="logo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Small.jpg"/>
                  <pic:cNvPicPr>
                    <a:picLocks noChangeAspect="1" noChangeArrowheads="1"/>
                  </pic:cNvPicPr>
                </pic:nvPicPr>
                <pic:blipFill>
                  <a:blip r:embed="rId1"/>
                  <a:stretch>
                    <a:fillRect/>
                  </a:stretch>
                </pic:blipFill>
                <pic:spPr bwMode="auto">
                  <a:xfrm>
                    <a:off x="0" y="0"/>
                    <a:ext cx="1233805" cy="640080"/>
                  </a:xfrm>
                  <a:prstGeom prst="rect">
                    <a:avLst/>
                  </a:prstGeom>
                  <a:noFill/>
                  <a:ln w="9525">
                    <a:noFill/>
                    <a:miter lim="800000"/>
                    <a:headEnd/>
                    <a:tailEnd/>
                  </a:ln>
                </pic:spPr>
              </pic:pic>
            </a:graphicData>
          </a:graphic>
        </wp:anchor>
      </w:drawing>
    </w:r>
    <w:r w:rsidRPr="00B9765D">
      <w:rPr>
        <w:rFonts w:ascii="Humnst777 Lt BT" w:hAnsi="Humnst777 Lt BT"/>
        <w:color w:val="17365D" w:themeColor="text2" w:themeShade="BF"/>
      </w:rPr>
      <w:t xml:space="preserve"> </w:t>
    </w:r>
    <w:r w:rsidRPr="0055176B">
      <w:rPr>
        <w:rFonts w:ascii="Humnst777 Lt BT" w:hAnsi="Humnst777 Lt BT"/>
        <w:b/>
        <w:color w:val="17365D" w:themeColor="text2" w:themeShade="BF"/>
      </w:rPr>
      <w:t>Federal Law 100 – TILA</w:t>
    </w:r>
  </w:p>
  <w:p w:rsidR="00B84BB8" w:rsidRDefault="00B84BB8" w:rsidP="00304C0B">
    <w:pPr>
      <w:pStyle w:val="Header"/>
      <w:jc w:val="right"/>
      <w:rPr>
        <w:rFonts w:ascii="Humnst777 Lt BT" w:hAnsi="Humnst777 Lt BT"/>
        <w:color w:val="17365D"/>
      </w:rPr>
    </w:pPr>
    <w:r>
      <w:rPr>
        <w:rFonts w:ascii="Humnst777 Lt BT" w:hAnsi="Humnst777 Lt BT"/>
        <w:color w:val="17365D"/>
      </w:rPr>
      <w:t>Advertising Regulation</w:t>
    </w:r>
  </w:p>
  <w:p w:rsidR="00B84BB8" w:rsidRDefault="00B84BB8" w:rsidP="00733FA5">
    <w:pPr>
      <w:pStyle w:val="Header"/>
      <w:jc w:val="right"/>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BB8" w:rsidRPr="0055176B" w:rsidRDefault="00B84BB8" w:rsidP="00733FA5">
    <w:pPr>
      <w:pStyle w:val="Header"/>
      <w:jc w:val="right"/>
      <w:rPr>
        <w:rFonts w:ascii="Humnst777 Lt BT" w:hAnsi="Humnst777 Lt BT"/>
        <w:b/>
        <w:color w:val="17365D" w:themeColor="text2" w:themeShade="BF"/>
      </w:rPr>
    </w:pPr>
    <w:r>
      <w:rPr>
        <w:noProof/>
      </w:rPr>
      <w:drawing>
        <wp:anchor distT="0" distB="0" distL="114300" distR="114300" simplePos="0" relativeHeight="251671552" behindDoc="0" locked="0" layoutInCell="1" allowOverlap="1">
          <wp:simplePos x="0" y="0"/>
          <wp:positionH relativeFrom="column">
            <wp:posOffset>337185</wp:posOffset>
          </wp:positionH>
          <wp:positionV relativeFrom="paragraph">
            <wp:posOffset>-180340</wp:posOffset>
          </wp:positionV>
          <wp:extent cx="1233805" cy="640080"/>
          <wp:effectExtent l="19050" t="0" r="4445" b="0"/>
          <wp:wrapThrough wrapText="bothSides">
            <wp:wrapPolygon edited="0">
              <wp:start x="-334" y="0"/>
              <wp:lineTo x="-334" y="21214"/>
              <wp:lineTo x="21678" y="21214"/>
              <wp:lineTo x="21678" y="0"/>
              <wp:lineTo x="-334" y="0"/>
            </wp:wrapPolygon>
          </wp:wrapThrough>
          <wp:docPr id="16" name="Picture 4" descr="logo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Small.jpg"/>
                  <pic:cNvPicPr>
                    <a:picLocks noChangeAspect="1" noChangeArrowheads="1"/>
                  </pic:cNvPicPr>
                </pic:nvPicPr>
                <pic:blipFill>
                  <a:blip r:embed="rId1"/>
                  <a:stretch>
                    <a:fillRect/>
                  </a:stretch>
                </pic:blipFill>
                <pic:spPr bwMode="auto">
                  <a:xfrm>
                    <a:off x="0" y="0"/>
                    <a:ext cx="1233805" cy="640080"/>
                  </a:xfrm>
                  <a:prstGeom prst="rect">
                    <a:avLst/>
                  </a:prstGeom>
                  <a:noFill/>
                  <a:ln w="9525">
                    <a:noFill/>
                    <a:miter lim="800000"/>
                    <a:headEnd/>
                    <a:tailEnd/>
                  </a:ln>
                </pic:spPr>
              </pic:pic>
            </a:graphicData>
          </a:graphic>
        </wp:anchor>
      </w:drawing>
    </w:r>
    <w:r w:rsidRPr="00B9765D">
      <w:rPr>
        <w:rFonts w:ascii="Humnst777 Lt BT" w:hAnsi="Humnst777 Lt BT"/>
        <w:color w:val="17365D" w:themeColor="text2" w:themeShade="BF"/>
      </w:rPr>
      <w:t xml:space="preserve"> </w:t>
    </w:r>
    <w:r w:rsidRPr="0055176B">
      <w:rPr>
        <w:rFonts w:ascii="Humnst777 Lt BT" w:hAnsi="Humnst777 Lt BT"/>
        <w:b/>
        <w:color w:val="17365D" w:themeColor="text2" w:themeShade="BF"/>
      </w:rPr>
      <w:t>Federal Law 100 – TILA</w:t>
    </w:r>
  </w:p>
  <w:p w:rsidR="00B84BB8" w:rsidRDefault="00B84BB8" w:rsidP="00321002">
    <w:pPr>
      <w:pStyle w:val="Header"/>
      <w:jc w:val="right"/>
      <w:rPr>
        <w:rFonts w:ascii="Humnst777 Lt BT" w:hAnsi="Humnst777 Lt BT"/>
        <w:color w:val="17365D"/>
      </w:rPr>
    </w:pPr>
    <w:r>
      <w:rPr>
        <w:rFonts w:ascii="Humnst777 Lt BT" w:hAnsi="Humnst777 Lt BT"/>
        <w:color w:val="17365D"/>
      </w:rPr>
      <w:t>Additional Key TILA Rules</w:t>
    </w:r>
  </w:p>
  <w:p w:rsidR="00B84BB8" w:rsidRDefault="00B84BB8" w:rsidP="00733FA5">
    <w:pPr>
      <w:pStyle w:val="Header"/>
      <w:jc w:val="right"/>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BB8" w:rsidRPr="00E125EA" w:rsidRDefault="00B84BB8" w:rsidP="00733FA5">
    <w:pPr>
      <w:pStyle w:val="Header"/>
      <w:jc w:val="right"/>
      <w:rPr>
        <w:rFonts w:ascii="Humnst777 Lt BT" w:hAnsi="Humnst777 Lt BT"/>
        <w:b/>
        <w:color w:val="17365D" w:themeColor="text2" w:themeShade="BF"/>
      </w:rPr>
    </w:pPr>
    <w:r w:rsidRPr="00E125EA">
      <w:rPr>
        <w:b/>
        <w:noProof/>
      </w:rPr>
      <w:drawing>
        <wp:anchor distT="0" distB="0" distL="114300" distR="114300" simplePos="0" relativeHeight="251673600" behindDoc="0" locked="0" layoutInCell="1" allowOverlap="1">
          <wp:simplePos x="0" y="0"/>
          <wp:positionH relativeFrom="column">
            <wp:posOffset>337185</wp:posOffset>
          </wp:positionH>
          <wp:positionV relativeFrom="paragraph">
            <wp:posOffset>-180340</wp:posOffset>
          </wp:positionV>
          <wp:extent cx="1233805" cy="640080"/>
          <wp:effectExtent l="19050" t="0" r="4445" b="0"/>
          <wp:wrapThrough wrapText="bothSides">
            <wp:wrapPolygon edited="0">
              <wp:start x="-334" y="0"/>
              <wp:lineTo x="-334" y="21214"/>
              <wp:lineTo x="21678" y="21214"/>
              <wp:lineTo x="21678" y="0"/>
              <wp:lineTo x="-334" y="0"/>
            </wp:wrapPolygon>
          </wp:wrapThrough>
          <wp:docPr id="4" name="Picture 4" descr="logo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Small.jpg"/>
                  <pic:cNvPicPr>
                    <a:picLocks noChangeAspect="1" noChangeArrowheads="1"/>
                  </pic:cNvPicPr>
                </pic:nvPicPr>
                <pic:blipFill>
                  <a:blip r:embed="rId1"/>
                  <a:stretch>
                    <a:fillRect/>
                  </a:stretch>
                </pic:blipFill>
                <pic:spPr bwMode="auto">
                  <a:xfrm>
                    <a:off x="0" y="0"/>
                    <a:ext cx="1233805" cy="640080"/>
                  </a:xfrm>
                  <a:prstGeom prst="rect">
                    <a:avLst/>
                  </a:prstGeom>
                  <a:noFill/>
                  <a:ln w="9525">
                    <a:noFill/>
                    <a:miter lim="800000"/>
                    <a:headEnd/>
                    <a:tailEnd/>
                  </a:ln>
                </pic:spPr>
              </pic:pic>
            </a:graphicData>
          </a:graphic>
        </wp:anchor>
      </w:drawing>
    </w:r>
    <w:r w:rsidRPr="00E125EA">
      <w:rPr>
        <w:rFonts w:ascii="Humnst777 Lt BT" w:hAnsi="Humnst777 Lt BT"/>
        <w:b/>
        <w:color w:val="17365D" w:themeColor="text2" w:themeShade="BF"/>
      </w:rPr>
      <w:t xml:space="preserve"> Federal Law 100 – TILA</w:t>
    </w:r>
  </w:p>
  <w:p w:rsidR="00B84BB8" w:rsidRPr="00E125EA" w:rsidRDefault="00B84BB8" w:rsidP="00936F1B">
    <w:pPr>
      <w:pStyle w:val="Header"/>
      <w:jc w:val="right"/>
      <w:rPr>
        <w:rFonts w:ascii="Humnst777 Lt BT" w:hAnsi="Humnst777 Lt BT"/>
        <w:color w:val="17365D"/>
      </w:rPr>
    </w:pPr>
    <w:r w:rsidRPr="00E125EA">
      <w:rPr>
        <w:rFonts w:ascii="Humnst777 Lt BT" w:hAnsi="Humnst777 Lt BT"/>
        <w:color w:val="17365D"/>
      </w:rPr>
      <w:t>HOEPA and Predatory Lending</w:t>
    </w:r>
  </w:p>
  <w:p w:rsidR="00B84BB8" w:rsidRDefault="00B84BB8" w:rsidP="00733FA5">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65C83"/>
    <w:multiLevelType w:val="hybridMultilevel"/>
    <w:tmpl w:val="C41AB0EC"/>
    <w:lvl w:ilvl="0" w:tplc="40090011">
      <w:start w:val="1"/>
      <w:numFmt w:val="decimal"/>
      <w:lvlText w:val="%1)"/>
      <w:lvlJc w:val="left"/>
      <w:pPr>
        <w:ind w:left="1800" w:hanging="360"/>
      </w:pPr>
    </w:lvl>
    <w:lvl w:ilvl="1" w:tplc="40090019">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
    <w:nsid w:val="015B2EA9"/>
    <w:multiLevelType w:val="hybridMultilevel"/>
    <w:tmpl w:val="9776EF0C"/>
    <w:lvl w:ilvl="0" w:tplc="04090015">
      <w:start w:val="1"/>
      <w:numFmt w:val="upp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
    <w:nsid w:val="06A9410A"/>
    <w:multiLevelType w:val="hybridMultilevel"/>
    <w:tmpl w:val="C4C684B0"/>
    <w:lvl w:ilvl="0" w:tplc="40090011">
      <w:start w:val="1"/>
      <w:numFmt w:val="decimal"/>
      <w:lvlText w:val="%1)"/>
      <w:lvlJc w:val="left"/>
      <w:pPr>
        <w:ind w:left="1800" w:hanging="360"/>
      </w:p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3">
    <w:nsid w:val="0B3940AE"/>
    <w:multiLevelType w:val="hybridMultilevel"/>
    <w:tmpl w:val="3502F060"/>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nsid w:val="0BCA6807"/>
    <w:multiLevelType w:val="hybridMultilevel"/>
    <w:tmpl w:val="8C2847FC"/>
    <w:lvl w:ilvl="0" w:tplc="08090019">
      <w:start w:val="1"/>
      <w:numFmt w:val="lowerLetter"/>
      <w:lvlText w:val="%1."/>
      <w:lvlJc w:val="left"/>
      <w:pPr>
        <w:ind w:left="2160" w:hanging="360"/>
      </w:pPr>
    </w:lvl>
    <w:lvl w:ilvl="1" w:tplc="0409000F">
      <w:start w:val="1"/>
      <w:numFmt w:val="decimal"/>
      <w:lvlText w:val="%2."/>
      <w:lvlJc w:val="left"/>
      <w:pPr>
        <w:ind w:left="2880" w:hanging="360"/>
      </w:pPr>
    </w:lvl>
    <w:lvl w:ilvl="2" w:tplc="FBD236D2">
      <w:start w:val="1"/>
      <w:numFmt w:val="decimal"/>
      <w:lvlText w:val="(%3)"/>
      <w:lvlJc w:val="left"/>
      <w:pPr>
        <w:ind w:left="3840" w:hanging="420"/>
      </w:pPr>
      <w:rPr>
        <w:rFonts w:hint="default"/>
      </w:r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0C8F0D3A"/>
    <w:multiLevelType w:val="hybridMultilevel"/>
    <w:tmpl w:val="BDA265BA"/>
    <w:lvl w:ilvl="0" w:tplc="E4E4C2CE">
      <w:start w:val="1"/>
      <w:numFmt w:val="upperLetter"/>
      <w:lvlText w:val="%1."/>
      <w:lvlJc w:val="left"/>
      <w:pPr>
        <w:ind w:left="1080" w:hanging="720"/>
      </w:pPr>
      <w:rPr>
        <w:rFonts w:hint="default"/>
      </w:rPr>
    </w:lvl>
    <w:lvl w:ilvl="1" w:tplc="95C87DFE">
      <w:start w:val="1"/>
      <w:numFmt w:val="decimal"/>
      <w:lvlText w:val="%2."/>
      <w:lvlJc w:val="left"/>
      <w:pPr>
        <w:ind w:left="2520" w:hanging="360"/>
      </w:pPr>
      <w:rPr>
        <w:rFonts w:hint="default"/>
        <w:b/>
      </w:rPr>
    </w:lvl>
    <w:lvl w:ilvl="2" w:tplc="EEFE3B6A">
      <w:numFmt w:val="bullet"/>
      <w:lvlText w:val="•"/>
      <w:lvlJc w:val="left"/>
      <w:pPr>
        <w:ind w:left="3420" w:hanging="360"/>
      </w:pPr>
      <w:rPr>
        <w:rFonts w:ascii="Calibri" w:eastAsia="Calibri" w:hAnsi="Calibri" w:cs="Calibri"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0DF77F1B"/>
    <w:multiLevelType w:val="hybridMultilevel"/>
    <w:tmpl w:val="3502F060"/>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nsid w:val="0E272BC5"/>
    <w:multiLevelType w:val="hybridMultilevel"/>
    <w:tmpl w:val="C2C47246"/>
    <w:lvl w:ilvl="0" w:tplc="40090001">
      <w:start w:val="1"/>
      <w:numFmt w:val="bullet"/>
      <w:lvlText w:val=""/>
      <w:lvlJc w:val="left"/>
      <w:pPr>
        <w:ind w:left="1800" w:hanging="720"/>
      </w:pPr>
      <w:rPr>
        <w:rFonts w:ascii="Symbol" w:hAnsi="Symbol" w:hint="default"/>
      </w:rPr>
    </w:lvl>
    <w:lvl w:ilvl="1" w:tplc="40090001">
      <w:start w:val="1"/>
      <w:numFmt w:val="bullet"/>
      <w:lvlText w:val=""/>
      <w:lvlJc w:val="left"/>
      <w:pPr>
        <w:ind w:left="3240" w:hanging="360"/>
      </w:pPr>
      <w:rPr>
        <w:rFonts w:ascii="Symbol" w:hAnsi="Symbol" w:hint="default"/>
        <w:b/>
      </w:rPr>
    </w:lvl>
    <w:lvl w:ilvl="2" w:tplc="EEFE3B6A">
      <w:numFmt w:val="bullet"/>
      <w:lvlText w:val="•"/>
      <w:lvlJc w:val="left"/>
      <w:pPr>
        <w:ind w:left="4140" w:hanging="360"/>
      </w:pPr>
      <w:rPr>
        <w:rFonts w:ascii="Calibri" w:eastAsia="Calibri" w:hAnsi="Calibri" w:cs="Calibri" w:hint="default"/>
      </w:r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nsid w:val="108D32FF"/>
    <w:multiLevelType w:val="hybridMultilevel"/>
    <w:tmpl w:val="4A38D916"/>
    <w:lvl w:ilvl="0" w:tplc="40090019">
      <w:start w:val="1"/>
      <w:numFmt w:val="lowerLetter"/>
      <w:lvlText w:val="%1."/>
      <w:lvlJc w:val="left"/>
      <w:pPr>
        <w:ind w:left="2160" w:hanging="360"/>
      </w:pPr>
      <w:rPr>
        <w:rFonts w:hint="default"/>
      </w:rPr>
    </w:lvl>
    <w:lvl w:ilvl="1" w:tplc="40090003">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9">
    <w:nsid w:val="1D54642B"/>
    <w:multiLevelType w:val="hybridMultilevel"/>
    <w:tmpl w:val="BDA265BA"/>
    <w:lvl w:ilvl="0" w:tplc="E4E4C2CE">
      <w:start w:val="1"/>
      <w:numFmt w:val="upperLetter"/>
      <w:lvlText w:val="%1."/>
      <w:lvlJc w:val="left"/>
      <w:pPr>
        <w:ind w:left="1080" w:hanging="720"/>
      </w:pPr>
      <w:rPr>
        <w:rFonts w:hint="default"/>
      </w:rPr>
    </w:lvl>
    <w:lvl w:ilvl="1" w:tplc="95C87DFE">
      <w:start w:val="1"/>
      <w:numFmt w:val="decimal"/>
      <w:lvlText w:val="%2."/>
      <w:lvlJc w:val="left"/>
      <w:pPr>
        <w:ind w:left="2520" w:hanging="360"/>
      </w:pPr>
      <w:rPr>
        <w:rFonts w:hint="default"/>
        <w:b/>
      </w:rPr>
    </w:lvl>
    <w:lvl w:ilvl="2" w:tplc="EEFE3B6A">
      <w:numFmt w:val="bullet"/>
      <w:lvlText w:val="•"/>
      <w:lvlJc w:val="left"/>
      <w:pPr>
        <w:ind w:left="3420" w:hanging="360"/>
      </w:pPr>
      <w:rPr>
        <w:rFonts w:ascii="Calibri" w:eastAsia="Calibri" w:hAnsi="Calibri" w:cs="Calibri"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20465CA3"/>
    <w:multiLevelType w:val="hybridMultilevel"/>
    <w:tmpl w:val="E7125CE0"/>
    <w:lvl w:ilvl="0" w:tplc="9CB43C9E">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nsid w:val="20F4741E"/>
    <w:multiLevelType w:val="hybridMultilevel"/>
    <w:tmpl w:val="FE4E7D3C"/>
    <w:lvl w:ilvl="0" w:tplc="CB36627A">
      <w:start w:val="7"/>
      <w:numFmt w:val="upperRoman"/>
      <w:lvlText w:val="%1."/>
      <w:lvlJc w:val="right"/>
      <w:pPr>
        <w:ind w:left="216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280B7421"/>
    <w:multiLevelType w:val="hybridMultilevel"/>
    <w:tmpl w:val="1390D7E0"/>
    <w:lvl w:ilvl="0" w:tplc="4009001B">
      <w:start w:val="1"/>
      <w:numFmt w:val="lowerRoman"/>
      <w:lvlText w:val="%1."/>
      <w:lvlJc w:val="right"/>
      <w:pPr>
        <w:ind w:left="2160" w:hanging="180"/>
      </w:pPr>
    </w:lvl>
    <w:lvl w:ilvl="1" w:tplc="4B9AE1AE">
      <w:start w:val="1"/>
      <w:numFmt w:val="decimal"/>
      <w:lvlText w:val="%2)"/>
      <w:lvlJc w:val="left"/>
      <w:pPr>
        <w:ind w:left="1440" w:hanging="360"/>
      </w:pPr>
      <w:rPr>
        <w:rFonts w:hint="default"/>
      </w:rPr>
    </w:lvl>
    <w:lvl w:ilvl="2" w:tplc="8C7AAE3A">
      <w:start w:val="1"/>
      <w:numFmt w:val="lowerLetter"/>
      <w:lvlText w:val="%3)"/>
      <w:lvlJc w:val="left"/>
      <w:pPr>
        <w:ind w:left="2340" w:hanging="360"/>
      </w:pPr>
      <w:rPr>
        <w:rFonts w:hint="default"/>
      </w:rPr>
    </w:lvl>
    <w:lvl w:ilvl="3" w:tplc="37BEECD8">
      <w:start w:val="1"/>
      <w:numFmt w:val="upperLetter"/>
      <w:lvlText w:val="%4."/>
      <w:lvlJc w:val="left"/>
      <w:pPr>
        <w:ind w:left="2880" w:hanging="360"/>
      </w:pPr>
      <w:rPr>
        <w:rFonts w:hint="default"/>
      </w:rPr>
    </w:lvl>
    <w:lvl w:ilvl="4" w:tplc="40090019">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281902E0"/>
    <w:multiLevelType w:val="hybridMultilevel"/>
    <w:tmpl w:val="3502F060"/>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nsid w:val="286F53DF"/>
    <w:multiLevelType w:val="hybridMultilevel"/>
    <w:tmpl w:val="BAE8DF32"/>
    <w:lvl w:ilvl="0" w:tplc="E4E4C2CE">
      <w:start w:val="1"/>
      <w:numFmt w:val="upperLetter"/>
      <w:lvlText w:val="%1."/>
      <w:lvlJc w:val="left"/>
      <w:pPr>
        <w:ind w:left="1080" w:hanging="720"/>
      </w:pPr>
      <w:rPr>
        <w:rFonts w:hint="default"/>
      </w:rPr>
    </w:lvl>
    <w:lvl w:ilvl="1" w:tplc="95C87DFE">
      <w:start w:val="1"/>
      <w:numFmt w:val="decimal"/>
      <w:lvlText w:val="%2."/>
      <w:lvlJc w:val="left"/>
      <w:pPr>
        <w:ind w:left="2520" w:hanging="360"/>
      </w:pPr>
      <w:rPr>
        <w:rFonts w:hint="default"/>
        <w:b/>
      </w:rPr>
    </w:lvl>
    <w:lvl w:ilvl="2" w:tplc="EEFE3B6A">
      <w:numFmt w:val="bullet"/>
      <w:lvlText w:val="•"/>
      <w:lvlJc w:val="left"/>
      <w:pPr>
        <w:ind w:left="3420" w:hanging="360"/>
      </w:pPr>
      <w:rPr>
        <w:rFonts w:ascii="Calibri" w:eastAsia="Calibri" w:hAnsi="Calibri" w:cs="Calibri"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2B760183"/>
    <w:multiLevelType w:val="hybridMultilevel"/>
    <w:tmpl w:val="86645120"/>
    <w:lvl w:ilvl="0" w:tplc="0809000F">
      <w:start w:val="1"/>
      <w:numFmt w:val="decimal"/>
      <w:lvlText w:val="%1."/>
      <w:lvlJc w:val="left"/>
      <w:pPr>
        <w:ind w:left="2160" w:hanging="360"/>
      </w:p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16">
    <w:nsid w:val="2D6D6DA0"/>
    <w:multiLevelType w:val="multilevel"/>
    <w:tmpl w:val="E14CA4E6"/>
    <w:lvl w:ilvl="0">
      <w:start w:val="1"/>
      <w:numFmt w:val="upperRoman"/>
      <w:pStyle w:val="Heading1"/>
      <w:lvlText w:val="%1."/>
      <w:lvlJc w:val="left"/>
      <w:pPr>
        <w:ind w:left="1080" w:firstLine="0"/>
      </w:pPr>
    </w:lvl>
    <w:lvl w:ilvl="1">
      <w:start w:val="1"/>
      <w:numFmt w:val="upperLetter"/>
      <w:lvlText w:val="%2."/>
      <w:lvlJc w:val="left"/>
      <w:pPr>
        <w:ind w:left="1800" w:firstLine="0"/>
      </w:pPr>
    </w:lvl>
    <w:lvl w:ilvl="2">
      <w:start w:val="1"/>
      <w:numFmt w:val="decimal"/>
      <w:lvlText w:val="%3."/>
      <w:lvlJc w:val="left"/>
      <w:pPr>
        <w:ind w:left="2520" w:firstLine="0"/>
      </w:pPr>
    </w:lvl>
    <w:lvl w:ilvl="3">
      <w:start w:val="1"/>
      <w:numFmt w:val="lowerLetter"/>
      <w:pStyle w:val="Heading4"/>
      <w:lvlText w:val="%4)"/>
      <w:lvlJc w:val="left"/>
      <w:pPr>
        <w:ind w:left="3240" w:firstLine="0"/>
      </w:pPr>
    </w:lvl>
    <w:lvl w:ilvl="4">
      <w:start w:val="1"/>
      <w:numFmt w:val="decimal"/>
      <w:pStyle w:val="Heading5"/>
      <w:lvlText w:val="(%5)"/>
      <w:lvlJc w:val="left"/>
      <w:pPr>
        <w:ind w:left="3960" w:firstLine="0"/>
      </w:pPr>
    </w:lvl>
    <w:lvl w:ilvl="5">
      <w:start w:val="1"/>
      <w:numFmt w:val="lowerLetter"/>
      <w:pStyle w:val="Heading6"/>
      <w:lvlText w:val="(%6)"/>
      <w:lvlJc w:val="left"/>
      <w:pPr>
        <w:ind w:left="4680" w:firstLine="0"/>
      </w:pPr>
    </w:lvl>
    <w:lvl w:ilvl="6">
      <w:start w:val="1"/>
      <w:numFmt w:val="lowerRoman"/>
      <w:pStyle w:val="Heading7"/>
      <w:lvlText w:val="(%7)"/>
      <w:lvlJc w:val="left"/>
      <w:pPr>
        <w:ind w:left="5400" w:firstLine="0"/>
      </w:pPr>
    </w:lvl>
    <w:lvl w:ilvl="7">
      <w:start w:val="1"/>
      <w:numFmt w:val="lowerLetter"/>
      <w:pStyle w:val="Heading8"/>
      <w:lvlText w:val="(%8)"/>
      <w:lvlJc w:val="left"/>
      <w:pPr>
        <w:ind w:left="6120" w:firstLine="0"/>
      </w:pPr>
    </w:lvl>
    <w:lvl w:ilvl="8">
      <w:start w:val="1"/>
      <w:numFmt w:val="lowerRoman"/>
      <w:pStyle w:val="Heading9"/>
      <w:lvlText w:val="(%9)"/>
      <w:lvlJc w:val="left"/>
      <w:pPr>
        <w:ind w:left="6840" w:firstLine="0"/>
      </w:pPr>
    </w:lvl>
  </w:abstractNum>
  <w:abstractNum w:abstractNumId="17">
    <w:nsid w:val="30C232E1"/>
    <w:multiLevelType w:val="hybridMultilevel"/>
    <w:tmpl w:val="3502F060"/>
    <w:lvl w:ilvl="0" w:tplc="0809000F">
      <w:start w:val="1"/>
      <w:numFmt w:val="upperLetter"/>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8">
    <w:nsid w:val="30DE7843"/>
    <w:multiLevelType w:val="hybridMultilevel"/>
    <w:tmpl w:val="E752D6C4"/>
    <w:lvl w:ilvl="0" w:tplc="0809000F">
      <w:start w:val="1"/>
      <w:numFmt w:val="lowerRoman"/>
      <w:lvlText w:val="%1."/>
      <w:lvlJc w:val="right"/>
      <w:pPr>
        <w:ind w:left="2520" w:hanging="720"/>
      </w:pPr>
      <w:rPr>
        <w:rFonts w:hint="default"/>
      </w:rPr>
    </w:lvl>
    <w:lvl w:ilvl="1" w:tplc="04090019">
      <w:start w:val="1"/>
      <w:numFmt w:val="decimal"/>
      <w:lvlText w:val="%2."/>
      <w:lvlJc w:val="left"/>
      <w:pPr>
        <w:ind w:left="3960" w:hanging="360"/>
      </w:pPr>
      <w:rPr>
        <w:rFonts w:hint="default"/>
        <w:b/>
      </w:rPr>
    </w:lvl>
    <w:lvl w:ilvl="2" w:tplc="0409001B">
      <w:numFmt w:val="bullet"/>
      <w:lvlText w:val="•"/>
      <w:lvlJc w:val="left"/>
      <w:pPr>
        <w:ind w:left="4860" w:hanging="360"/>
      </w:pPr>
      <w:rPr>
        <w:rFonts w:ascii="Calibri" w:eastAsia="Calibri" w:hAnsi="Calibri" w:cs="Calibri" w:hint="default"/>
      </w:rPr>
    </w:lvl>
    <w:lvl w:ilvl="3" w:tplc="0409000F">
      <w:start w:val="1"/>
      <w:numFmt w:val="decimal"/>
      <w:lvlText w:val="%4)"/>
      <w:lvlJc w:val="left"/>
      <w:pPr>
        <w:ind w:left="5400" w:hanging="360"/>
      </w:pPr>
      <w:rPr>
        <w:rFonts w:hint="default"/>
      </w:r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9">
    <w:nsid w:val="33D824A7"/>
    <w:multiLevelType w:val="hybridMultilevel"/>
    <w:tmpl w:val="B5D65F7E"/>
    <w:lvl w:ilvl="0" w:tplc="0809001B">
      <w:start w:val="1"/>
      <w:numFmt w:val="decimal"/>
      <w:lvlText w:val="%1."/>
      <w:lvlJc w:val="left"/>
      <w:pPr>
        <w:ind w:left="1800" w:hanging="720"/>
      </w:pPr>
      <w:rPr>
        <w:rFonts w:hint="default"/>
      </w:rPr>
    </w:lvl>
    <w:lvl w:ilvl="1" w:tplc="95C87DFE">
      <w:start w:val="1"/>
      <w:numFmt w:val="decimal"/>
      <w:lvlText w:val="%2."/>
      <w:lvlJc w:val="left"/>
      <w:pPr>
        <w:ind w:left="3240" w:hanging="360"/>
      </w:pPr>
      <w:rPr>
        <w:rFonts w:hint="default"/>
        <w:b/>
      </w:rPr>
    </w:lvl>
    <w:lvl w:ilvl="2" w:tplc="EEFE3B6A">
      <w:numFmt w:val="bullet"/>
      <w:lvlText w:val="•"/>
      <w:lvlJc w:val="left"/>
      <w:pPr>
        <w:ind w:left="4140" w:hanging="360"/>
      </w:pPr>
      <w:rPr>
        <w:rFonts w:ascii="Calibri" w:eastAsia="Calibri" w:hAnsi="Calibri" w:cs="Calibri" w:hint="default"/>
      </w:rPr>
    </w:lvl>
    <w:lvl w:ilvl="3" w:tplc="76A0325C">
      <w:start w:val="1"/>
      <w:numFmt w:val="decimal"/>
      <w:lvlText w:val="%4)"/>
      <w:lvlJc w:val="left"/>
      <w:pPr>
        <w:ind w:left="4680" w:hanging="360"/>
      </w:pPr>
      <w:rPr>
        <w:rFonts w:hint="default"/>
      </w:r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0">
    <w:nsid w:val="34931A24"/>
    <w:multiLevelType w:val="hybridMultilevel"/>
    <w:tmpl w:val="33E2CF62"/>
    <w:lvl w:ilvl="0" w:tplc="4009000F">
      <w:start w:val="2"/>
      <w:numFmt w:val="decimal"/>
      <w:lvlText w:val="%1."/>
      <w:lvlJc w:val="left"/>
      <w:pPr>
        <w:ind w:left="2160" w:hanging="360"/>
      </w:pPr>
      <w:rPr>
        <w:rFonts w:hint="default"/>
      </w:rPr>
    </w:lvl>
    <w:lvl w:ilvl="1" w:tplc="95C87DFE" w:tentative="1">
      <w:start w:val="1"/>
      <w:numFmt w:val="lowerLetter"/>
      <w:lvlText w:val="%2."/>
      <w:lvlJc w:val="left"/>
      <w:pPr>
        <w:ind w:left="1440" w:hanging="360"/>
      </w:pPr>
    </w:lvl>
    <w:lvl w:ilvl="2" w:tplc="EEFE3B6A" w:tentative="1">
      <w:start w:val="1"/>
      <w:numFmt w:val="lowerRoman"/>
      <w:lvlText w:val="%3."/>
      <w:lvlJc w:val="right"/>
      <w:pPr>
        <w:ind w:left="2160" w:hanging="180"/>
      </w:pPr>
    </w:lvl>
    <w:lvl w:ilvl="3" w:tplc="76A0325C"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B6F59AB"/>
    <w:multiLevelType w:val="hybridMultilevel"/>
    <w:tmpl w:val="8E248F52"/>
    <w:lvl w:ilvl="0" w:tplc="80FCE8BE">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BCE7C41"/>
    <w:multiLevelType w:val="hybridMultilevel"/>
    <w:tmpl w:val="3502F060"/>
    <w:lvl w:ilvl="0" w:tplc="D3EEDD62">
      <w:start w:val="1"/>
      <w:numFmt w:val="upperLetter"/>
      <w:lvlText w:val="%1."/>
      <w:lvlJc w:val="left"/>
      <w:pPr>
        <w:ind w:left="2160" w:hanging="360"/>
      </w:p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23">
    <w:nsid w:val="3ED7076C"/>
    <w:multiLevelType w:val="hybridMultilevel"/>
    <w:tmpl w:val="EEEC7436"/>
    <w:lvl w:ilvl="0" w:tplc="0409001B">
      <w:start w:val="3"/>
      <w:numFmt w:val="upperLetter"/>
      <w:lvlText w:val="%1."/>
      <w:lvlJc w:val="left"/>
      <w:pPr>
        <w:ind w:left="21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40791786"/>
    <w:multiLevelType w:val="hybridMultilevel"/>
    <w:tmpl w:val="1186B830"/>
    <w:lvl w:ilvl="0" w:tplc="4EC44982">
      <w:start w:val="1"/>
      <w:numFmt w:val="bullet"/>
      <w:lvlText w:val=""/>
      <w:lvlJc w:val="left"/>
      <w:pPr>
        <w:ind w:left="1800" w:hanging="720"/>
      </w:pPr>
      <w:rPr>
        <w:rFonts w:ascii="Symbol" w:hAnsi="Symbol" w:hint="default"/>
      </w:rPr>
    </w:lvl>
    <w:lvl w:ilvl="1" w:tplc="08090019">
      <w:start w:val="1"/>
      <w:numFmt w:val="bullet"/>
      <w:lvlText w:val=""/>
      <w:lvlJc w:val="left"/>
      <w:pPr>
        <w:ind w:left="3240" w:hanging="360"/>
      </w:pPr>
      <w:rPr>
        <w:rFonts w:ascii="Symbol" w:hAnsi="Symbol" w:hint="default"/>
      </w:r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25">
    <w:nsid w:val="46446D21"/>
    <w:multiLevelType w:val="hybridMultilevel"/>
    <w:tmpl w:val="1EB21688"/>
    <w:lvl w:ilvl="0" w:tplc="08090015">
      <w:start w:val="1"/>
      <w:numFmt w:val="upperLetter"/>
      <w:lvlText w:val="%1."/>
      <w:lvlJc w:val="left"/>
      <w:pPr>
        <w:ind w:left="2160" w:hanging="360"/>
      </w:pPr>
      <w:rPr>
        <w:rFonts w:ascii="Calibri" w:eastAsia="Calibri" w:hAnsi="Calibri" w:cs="Times New Roman"/>
      </w:rPr>
    </w:lvl>
    <w:lvl w:ilvl="1" w:tplc="04090019">
      <w:start w:val="1"/>
      <w:numFmt w:val="decimal"/>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nsid w:val="48CC6ECF"/>
    <w:multiLevelType w:val="hybridMultilevel"/>
    <w:tmpl w:val="7C1497D2"/>
    <w:lvl w:ilvl="0" w:tplc="A6F20E12">
      <w:start w:val="1"/>
      <w:numFmt w:val="decimal"/>
      <w:lvlText w:val="%1)"/>
      <w:lvlJc w:val="left"/>
      <w:pPr>
        <w:ind w:left="1800" w:hanging="360"/>
      </w:pPr>
    </w:lvl>
    <w:lvl w:ilvl="1" w:tplc="0809000F">
      <w:start w:val="1"/>
      <w:numFmt w:val="lowerRoman"/>
      <w:lvlText w:val="%2)"/>
      <w:lvlJc w:val="left"/>
      <w:pPr>
        <w:ind w:left="2880" w:hanging="72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4D3124C8"/>
    <w:multiLevelType w:val="hybridMultilevel"/>
    <w:tmpl w:val="038A3B84"/>
    <w:lvl w:ilvl="0" w:tplc="08090015">
      <w:start w:val="1"/>
      <w:numFmt w:val="decimal"/>
      <w:lvlText w:val="%1."/>
      <w:lvlJc w:val="left"/>
      <w:pPr>
        <w:ind w:left="1800" w:hanging="360"/>
      </w:p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8">
    <w:nsid w:val="4DAC7D8D"/>
    <w:multiLevelType w:val="hybridMultilevel"/>
    <w:tmpl w:val="A3848E60"/>
    <w:lvl w:ilvl="0" w:tplc="40090001">
      <w:start w:val="1"/>
      <w:numFmt w:val="lowerLetter"/>
      <w:lvlText w:val="%1)"/>
      <w:lvlJc w:val="left"/>
      <w:pPr>
        <w:ind w:left="720" w:hanging="360"/>
      </w:pPr>
    </w:lvl>
    <w:lvl w:ilvl="1" w:tplc="40090001">
      <w:start w:val="1"/>
      <w:numFmt w:val="lowerLetter"/>
      <w:lvlText w:val="%2."/>
      <w:lvlJc w:val="left"/>
      <w:pPr>
        <w:ind w:left="1440" w:hanging="360"/>
      </w:pPr>
    </w:lvl>
    <w:lvl w:ilvl="2" w:tplc="EEFE3B6A"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1172570"/>
    <w:multiLevelType w:val="hybridMultilevel"/>
    <w:tmpl w:val="D87465E8"/>
    <w:lvl w:ilvl="0" w:tplc="04090017">
      <w:start w:val="1"/>
      <w:numFmt w:val="lowerLetter"/>
      <w:lvlText w:val="%1."/>
      <w:lvlJc w:val="left"/>
      <w:pPr>
        <w:ind w:left="21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58C23C7"/>
    <w:multiLevelType w:val="hybridMultilevel"/>
    <w:tmpl w:val="46F45E3C"/>
    <w:lvl w:ilvl="0" w:tplc="08090015">
      <w:start w:val="1"/>
      <w:numFmt w:val="bullet"/>
      <w:lvlText w:val="o"/>
      <w:lvlJc w:val="left"/>
      <w:pPr>
        <w:ind w:left="2880" w:hanging="360"/>
      </w:pPr>
      <w:rPr>
        <w:rFonts w:ascii="Courier New" w:hAnsi="Courier New" w:cs="Courier New" w:hint="default"/>
      </w:rPr>
    </w:lvl>
    <w:lvl w:ilvl="1" w:tplc="04090019" w:tentative="1">
      <w:start w:val="1"/>
      <w:numFmt w:val="bullet"/>
      <w:lvlText w:val="o"/>
      <w:lvlJc w:val="left"/>
      <w:pPr>
        <w:ind w:left="3600" w:hanging="360"/>
      </w:pPr>
      <w:rPr>
        <w:rFonts w:ascii="Courier New" w:hAnsi="Courier New" w:cs="Courier New" w:hint="default"/>
      </w:rPr>
    </w:lvl>
    <w:lvl w:ilvl="2" w:tplc="0409001B" w:tentative="1">
      <w:start w:val="1"/>
      <w:numFmt w:val="bullet"/>
      <w:lvlText w:val=""/>
      <w:lvlJc w:val="left"/>
      <w:pPr>
        <w:ind w:left="4320" w:hanging="360"/>
      </w:pPr>
      <w:rPr>
        <w:rFonts w:ascii="Wingdings" w:hAnsi="Wingdings" w:hint="default"/>
      </w:rPr>
    </w:lvl>
    <w:lvl w:ilvl="3" w:tplc="0409000F" w:tentative="1">
      <w:start w:val="1"/>
      <w:numFmt w:val="bullet"/>
      <w:lvlText w:val=""/>
      <w:lvlJc w:val="left"/>
      <w:pPr>
        <w:ind w:left="5040" w:hanging="360"/>
      </w:pPr>
      <w:rPr>
        <w:rFonts w:ascii="Symbol" w:hAnsi="Symbol" w:hint="default"/>
      </w:rPr>
    </w:lvl>
    <w:lvl w:ilvl="4" w:tplc="04090019" w:tentative="1">
      <w:start w:val="1"/>
      <w:numFmt w:val="bullet"/>
      <w:lvlText w:val="o"/>
      <w:lvlJc w:val="left"/>
      <w:pPr>
        <w:ind w:left="5760" w:hanging="360"/>
      </w:pPr>
      <w:rPr>
        <w:rFonts w:ascii="Courier New" w:hAnsi="Courier New" w:cs="Courier New" w:hint="default"/>
      </w:rPr>
    </w:lvl>
    <w:lvl w:ilvl="5" w:tplc="0409001B" w:tentative="1">
      <w:start w:val="1"/>
      <w:numFmt w:val="bullet"/>
      <w:lvlText w:val=""/>
      <w:lvlJc w:val="left"/>
      <w:pPr>
        <w:ind w:left="6480" w:hanging="360"/>
      </w:pPr>
      <w:rPr>
        <w:rFonts w:ascii="Wingdings" w:hAnsi="Wingdings" w:hint="default"/>
      </w:rPr>
    </w:lvl>
    <w:lvl w:ilvl="6" w:tplc="0409000F" w:tentative="1">
      <w:start w:val="1"/>
      <w:numFmt w:val="bullet"/>
      <w:lvlText w:val=""/>
      <w:lvlJc w:val="left"/>
      <w:pPr>
        <w:ind w:left="7200" w:hanging="360"/>
      </w:pPr>
      <w:rPr>
        <w:rFonts w:ascii="Symbol" w:hAnsi="Symbol" w:hint="default"/>
      </w:rPr>
    </w:lvl>
    <w:lvl w:ilvl="7" w:tplc="04090019" w:tentative="1">
      <w:start w:val="1"/>
      <w:numFmt w:val="bullet"/>
      <w:lvlText w:val="o"/>
      <w:lvlJc w:val="left"/>
      <w:pPr>
        <w:ind w:left="7920" w:hanging="360"/>
      </w:pPr>
      <w:rPr>
        <w:rFonts w:ascii="Courier New" w:hAnsi="Courier New" w:cs="Courier New" w:hint="default"/>
      </w:rPr>
    </w:lvl>
    <w:lvl w:ilvl="8" w:tplc="0409001B" w:tentative="1">
      <w:start w:val="1"/>
      <w:numFmt w:val="bullet"/>
      <w:lvlText w:val=""/>
      <w:lvlJc w:val="left"/>
      <w:pPr>
        <w:ind w:left="8640" w:hanging="360"/>
      </w:pPr>
      <w:rPr>
        <w:rFonts w:ascii="Wingdings" w:hAnsi="Wingdings" w:hint="default"/>
      </w:rPr>
    </w:lvl>
  </w:abstractNum>
  <w:abstractNum w:abstractNumId="31">
    <w:nsid w:val="55AD14D7"/>
    <w:multiLevelType w:val="hybridMultilevel"/>
    <w:tmpl w:val="3502F060"/>
    <w:lvl w:ilvl="0" w:tplc="0409000F">
      <w:start w:val="1"/>
      <w:numFmt w:val="upperLetter"/>
      <w:lvlText w:val="%1."/>
      <w:lvlJc w:val="left"/>
      <w:pPr>
        <w:ind w:left="2160" w:hanging="360"/>
      </w:pPr>
    </w:lvl>
    <w:lvl w:ilvl="1" w:tplc="0409001B">
      <w:start w:val="1"/>
      <w:numFmt w:val="lowerLetter"/>
      <w:lvlText w:val="%2."/>
      <w:lvlJc w:val="left"/>
      <w:pPr>
        <w:ind w:left="2880" w:hanging="360"/>
      </w:pPr>
    </w:lvl>
    <w:lvl w:ilvl="2" w:tplc="FBD236D2"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
    <w:nsid w:val="578F4EC5"/>
    <w:multiLevelType w:val="hybridMultilevel"/>
    <w:tmpl w:val="D620260C"/>
    <w:lvl w:ilvl="0" w:tplc="04090015">
      <w:start w:val="1"/>
      <w:numFmt w:val="upperLetter"/>
      <w:lvlText w:val="%1."/>
      <w:lvlJc w:val="left"/>
      <w:pPr>
        <w:ind w:left="21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3">
    <w:nsid w:val="57C56B7F"/>
    <w:multiLevelType w:val="hybridMultilevel"/>
    <w:tmpl w:val="6B286BF0"/>
    <w:lvl w:ilvl="0" w:tplc="E4E4C2CE">
      <w:start w:val="1"/>
      <w:numFmt w:val="bullet"/>
      <w:lvlText w:val=""/>
      <w:lvlJc w:val="left"/>
      <w:pPr>
        <w:ind w:left="2520" w:hanging="360"/>
      </w:pPr>
      <w:rPr>
        <w:rFonts w:ascii="Symbol" w:hAnsi="Symbol" w:hint="default"/>
      </w:rPr>
    </w:lvl>
    <w:lvl w:ilvl="1" w:tplc="95C87DFE" w:tentative="1">
      <w:start w:val="1"/>
      <w:numFmt w:val="bullet"/>
      <w:lvlText w:val="o"/>
      <w:lvlJc w:val="left"/>
      <w:pPr>
        <w:ind w:left="3240" w:hanging="360"/>
      </w:pPr>
      <w:rPr>
        <w:rFonts w:ascii="Courier New" w:hAnsi="Courier New" w:cs="Courier New" w:hint="default"/>
      </w:rPr>
    </w:lvl>
    <w:lvl w:ilvl="2" w:tplc="EEFE3B6A" w:tentative="1">
      <w:start w:val="1"/>
      <w:numFmt w:val="bullet"/>
      <w:lvlText w:val=""/>
      <w:lvlJc w:val="left"/>
      <w:pPr>
        <w:ind w:left="3960" w:hanging="360"/>
      </w:pPr>
      <w:rPr>
        <w:rFonts w:ascii="Wingdings" w:hAnsi="Wingdings" w:hint="default"/>
      </w:rPr>
    </w:lvl>
    <w:lvl w:ilvl="3" w:tplc="76A0325C" w:tentative="1">
      <w:start w:val="1"/>
      <w:numFmt w:val="bullet"/>
      <w:lvlText w:val=""/>
      <w:lvlJc w:val="left"/>
      <w:pPr>
        <w:ind w:left="4680" w:hanging="360"/>
      </w:pPr>
      <w:rPr>
        <w:rFonts w:ascii="Symbol" w:hAnsi="Symbol" w:hint="default"/>
      </w:rPr>
    </w:lvl>
    <w:lvl w:ilvl="4" w:tplc="04090019" w:tentative="1">
      <w:start w:val="1"/>
      <w:numFmt w:val="bullet"/>
      <w:lvlText w:val="o"/>
      <w:lvlJc w:val="left"/>
      <w:pPr>
        <w:ind w:left="5400" w:hanging="360"/>
      </w:pPr>
      <w:rPr>
        <w:rFonts w:ascii="Courier New" w:hAnsi="Courier New" w:cs="Courier New" w:hint="default"/>
      </w:rPr>
    </w:lvl>
    <w:lvl w:ilvl="5" w:tplc="0409001B" w:tentative="1">
      <w:start w:val="1"/>
      <w:numFmt w:val="bullet"/>
      <w:lvlText w:val=""/>
      <w:lvlJc w:val="left"/>
      <w:pPr>
        <w:ind w:left="6120" w:hanging="360"/>
      </w:pPr>
      <w:rPr>
        <w:rFonts w:ascii="Wingdings" w:hAnsi="Wingdings" w:hint="default"/>
      </w:rPr>
    </w:lvl>
    <w:lvl w:ilvl="6" w:tplc="0409000F" w:tentative="1">
      <w:start w:val="1"/>
      <w:numFmt w:val="bullet"/>
      <w:lvlText w:val=""/>
      <w:lvlJc w:val="left"/>
      <w:pPr>
        <w:ind w:left="6840" w:hanging="360"/>
      </w:pPr>
      <w:rPr>
        <w:rFonts w:ascii="Symbol" w:hAnsi="Symbol" w:hint="default"/>
      </w:rPr>
    </w:lvl>
    <w:lvl w:ilvl="7" w:tplc="04090019" w:tentative="1">
      <w:start w:val="1"/>
      <w:numFmt w:val="bullet"/>
      <w:lvlText w:val="o"/>
      <w:lvlJc w:val="left"/>
      <w:pPr>
        <w:ind w:left="7560" w:hanging="360"/>
      </w:pPr>
      <w:rPr>
        <w:rFonts w:ascii="Courier New" w:hAnsi="Courier New" w:cs="Courier New" w:hint="default"/>
      </w:rPr>
    </w:lvl>
    <w:lvl w:ilvl="8" w:tplc="0409001B" w:tentative="1">
      <w:start w:val="1"/>
      <w:numFmt w:val="bullet"/>
      <w:lvlText w:val=""/>
      <w:lvlJc w:val="left"/>
      <w:pPr>
        <w:ind w:left="8280" w:hanging="360"/>
      </w:pPr>
      <w:rPr>
        <w:rFonts w:ascii="Wingdings" w:hAnsi="Wingdings" w:hint="default"/>
      </w:rPr>
    </w:lvl>
  </w:abstractNum>
  <w:abstractNum w:abstractNumId="34">
    <w:nsid w:val="584F081C"/>
    <w:multiLevelType w:val="hybridMultilevel"/>
    <w:tmpl w:val="1730EC52"/>
    <w:lvl w:ilvl="0" w:tplc="2602735A">
      <w:start w:val="1"/>
      <w:numFmt w:val="decimal"/>
      <w:lvlText w:val="%1."/>
      <w:lvlJc w:val="left"/>
      <w:pPr>
        <w:ind w:left="2160" w:hanging="360"/>
      </w:pPr>
    </w:lvl>
    <w:lvl w:ilvl="1" w:tplc="08090019">
      <w:start w:val="1"/>
      <w:numFmt w:val="decimal"/>
      <w:lvlText w:val="%2."/>
      <w:lvlJc w:val="left"/>
      <w:pPr>
        <w:ind w:left="2880" w:hanging="360"/>
      </w:pPr>
    </w:lvl>
    <w:lvl w:ilvl="2" w:tplc="0809001B">
      <w:start w:val="1"/>
      <w:numFmt w:val="decimal"/>
      <w:lvlText w:val="(%3)"/>
      <w:lvlJc w:val="left"/>
      <w:pPr>
        <w:ind w:left="3840" w:hanging="420"/>
      </w:pPr>
      <w:rPr>
        <w:rFonts w:hint="default"/>
      </w:r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35">
    <w:nsid w:val="58F0294F"/>
    <w:multiLevelType w:val="hybridMultilevel"/>
    <w:tmpl w:val="E5101394"/>
    <w:lvl w:ilvl="0" w:tplc="0409000F">
      <w:start w:val="1"/>
      <w:numFmt w:val="upperRoman"/>
      <w:lvlText w:val="%1."/>
      <w:lvlJc w:val="right"/>
      <w:pPr>
        <w:ind w:left="720" w:hanging="360"/>
      </w:pPr>
    </w:lvl>
    <w:lvl w:ilvl="1" w:tplc="0409000F">
      <w:start w:val="1"/>
      <w:numFmt w:val="lowerRoman"/>
      <w:lvlText w:val="%2."/>
      <w:lvlJc w:val="right"/>
      <w:pPr>
        <w:ind w:left="1440" w:hanging="360"/>
      </w:pPr>
    </w:lvl>
    <w:lvl w:ilvl="2" w:tplc="FBD236D2">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9695A97"/>
    <w:multiLevelType w:val="hybridMultilevel"/>
    <w:tmpl w:val="F8289A84"/>
    <w:lvl w:ilvl="0" w:tplc="0809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7">
    <w:nsid w:val="5A611217"/>
    <w:multiLevelType w:val="hybridMultilevel"/>
    <w:tmpl w:val="B196457E"/>
    <w:lvl w:ilvl="0" w:tplc="0409001B">
      <w:start w:val="1"/>
      <w:numFmt w:val="bullet"/>
      <w:lvlText w:val=""/>
      <w:lvlJc w:val="left"/>
      <w:pPr>
        <w:ind w:left="720" w:hanging="360"/>
      </w:pPr>
      <w:rPr>
        <w:rFonts w:ascii="Symbol" w:hAnsi="Symbol" w:hint="default"/>
      </w:rPr>
    </w:lvl>
    <w:lvl w:ilvl="1" w:tplc="40090019" w:tentative="1">
      <w:start w:val="1"/>
      <w:numFmt w:val="bullet"/>
      <w:lvlText w:val="o"/>
      <w:lvlJc w:val="left"/>
      <w:pPr>
        <w:ind w:left="1440" w:hanging="360"/>
      </w:pPr>
      <w:rPr>
        <w:rFonts w:ascii="Courier New" w:hAnsi="Courier New" w:cs="Courier New" w:hint="default"/>
      </w:rPr>
    </w:lvl>
    <w:lvl w:ilvl="2" w:tplc="4009001B" w:tentative="1">
      <w:start w:val="1"/>
      <w:numFmt w:val="bullet"/>
      <w:lvlText w:val=""/>
      <w:lvlJc w:val="left"/>
      <w:pPr>
        <w:ind w:left="2160" w:hanging="360"/>
      </w:pPr>
      <w:rPr>
        <w:rFonts w:ascii="Wingdings" w:hAnsi="Wingdings" w:hint="default"/>
      </w:rPr>
    </w:lvl>
    <w:lvl w:ilvl="3" w:tplc="4009000F" w:tentative="1">
      <w:start w:val="1"/>
      <w:numFmt w:val="bullet"/>
      <w:lvlText w:val=""/>
      <w:lvlJc w:val="left"/>
      <w:pPr>
        <w:ind w:left="2880" w:hanging="360"/>
      </w:pPr>
      <w:rPr>
        <w:rFonts w:ascii="Symbol" w:hAnsi="Symbol" w:hint="default"/>
      </w:rPr>
    </w:lvl>
    <w:lvl w:ilvl="4" w:tplc="40090019" w:tentative="1">
      <w:start w:val="1"/>
      <w:numFmt w:val="bullet"/>
      <w:lvlText w:val="o"/>
      <w:lvlJc w:val="left"/>
      <w:pPr>
        <w:ind w:left="3600" w:hanging="360"/>
      </w:pPr>
      <w:rPr>
        <w:rFonts w:ascii="Courier New" w:hAnsi="Courier New" w:cs="Courier New" w:hint="default"/>
      </w:rPr>
    </w:lvl>
    <w:lvl w:ilvl="5" w:tplc="4009001B" w:tentative="1">
      <w:start w:val="1"/>
      <w:numFmt w:val="bullet"/>
      <w:lvlText w:val=""/>
      <w:lvlJc w:val="left"/>
      <w:pPr>
        <w:ind w:left="4320" w:hanging="360"/>
      </w:pPr>
      <w:rPr>
        <w:rFonts w:ascii="Wingdings" w:hAnsi="Wingdings" w:hint="default"/>
      </w:rPr>
    </w:lvl>
    <w:lvl w:ilvl="6" w:tplc="4009000F" w:tentative="1">
      <w:start w:val="1"/>
      <w:numFmt w:val="bullet"/>
      <w:lvlText w:val=""/>
      <w:lvlJc w:val="left"/>
      <w:pPr>
        <w:ind w:left="5040" w:hanging="360"/>
      </w:pPr>
      <w:rPr>
        <w:rFonts w:ascii="Symbol" w:hAnsi="Symbol" w:hint="default"/>
      </w:rPr>
    </w:lvl>
    <w:lvl w:ilvl="7" w:tplc="40090019" w:tentative="1">
      <w:start w:val="1"/>
      <w:numFmt w:val="bullet"/>
      <w:lvlText w:val="o"/>
      <w:lvlJc w:val="left"/>
      <w:pPr>
        <w:ind w:left="5760" w:hanging="360"/>
      </w:pPr>
      <w:rPr>
        <w:rFonts w:ascii="Courier New" w:hAnsi="Courier New" w:cs="Courier New" w:hint="default"/>
      </w:rPr>
    </w:lvl>
    <w:lvl w:ilvl="8" w:tplc="4009001B" w:tentative="1">
      <w:start w:val="1"/>
      <w:numFmt w:val="bullet"/>
      <w:lvlText w:val=""/>
      <w:lvlJc w:val="left"/>
      <w:pPr>
        <w:ind w:left="6480" w:hanging="360"/>
      </w:pPr>
      <w:rPr>
        <w:rFonts w:ascii="Wingdings" w:hAnsi="Wingdings" w:hint="default"/>
      </w:rPr>
    </w:lvl>
  </w:abstractNum>
  <w:abstractNum w:abstractNumId="38">
    <w:nsid w:val="5B7560F3"/>
    <w:multiLevelType w:val="hybridMultilevel"/>
    <w:tmpl w:val="2FAC31A6"/>
    <w:lvl w:ilvl="0" w:tplc="0809000F">
      <w:start w:val="3"/>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14550C7"/>
    <w:multiLevelType w:val="hybridMultilevel"/>
    <w:tmpl w:val="674A22DC"/>
    <w:lvl w:ilvl="0" w:tplc="0409000F">
      <w:start w:val="1"/>
      <w:numFmt w:val="upperLetter"/>
      <w:lvlText w:val="%1."/>
      <w:lvlJc w:val="left"/>
      <w:pPr>
        <w:ind w:left="1080" w:hanging="720"/>
      </w:pPr>
      <w:rPr>
        <w:rFonts w:hint="default"/>
      </w:rPr>
    </w:lvl>
    <w:lvl w:ilvl="1" w:tplc="0409000F">
      <w:start w:val="1"/>
      <w:numFmt w:val="bullet"/>
      <w:lvlText w:val=""/>
      <w:lvlJc w:val="left"/>
      <w:pPr>
        <w:ind w:left="2520" w:hanging="360"/>
      </w:pPr>
      <w:rPr>
        <w:rFonts w:ascii="Symbol" w:hAnsi="Symbol" w:hint="default"/>
        <w:b/>
      </w:rPr>
    </w:lvl>
    <w:lvl w:ilvl="2" w:tplc="FBD236D2">
      <w:numFmt w:val="bullet"/>
      <w:lvlText w:val="•"/>
      <w:lvlJc w:val="left"/>
      <w:pPr>
        <w:ind w:left="3420" w:hanging="360"/>
      </w:pPr>
      <w:rPr>
        <w:rFonts w:ascii="Calibri" w:eastAsia="Calibri" w:hAnsi="Calibri" w:cs="Calibri"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nsid w:val="61FD7F7B"/>
    <w:multiLevelType w:val="hybridMultilevel"/>
    <w:tmpl w:val="BDA265BA"/>
    <w:lvl w:ilvl="0" w:tplc="E4E4C2CE">
      <w:start w:val="1"/>
      <w:numFmt w:val="upperLetter"/>
      <w:lvlText w:val="%1."/>
      <w:lvlJc w:val="left"/>
      <w:pPr>
        <w:ind w:left="1080" w:hanging="720"/>
      </w:pPr>
      <w:rPr>
        <w:rFonts w:hint="default"/>
      </w:rPr>
    </w:lvl>
    <w:lvl w:ilvl="1" w:tplc="40090001">
      <w:start w:val="1"/>
      <w:numFmt w:val="decimal"/>
      <w:lvlText w:val="%2."/>
      <w:lvlJc w:val="left"/>
      <w:pPr>
        <w:ind w:left="2520" w:hanging="360"/>
      </w:pPr>
      <w:rPr>
        <w:rFonts w:hint="default"/>
        <w:b/>
      </w:rPr>
    </w:lvl>
    <w:lvl w:ilvl="2" w:tplc="EEFE3B6A">
      <w:numFmt w:val="bullet"/>
      <w:lvlText w:val="•"/>
      <w:lvlJc w:val="left"/>
      <w:pPr>
        <w:ind w:left="3420" w:hanging="360"/>
      </w:pPr>
      <w:rPr>
        <w:rFonts w:ascii="Calibri" w:eastAsia="Calibri" w:hAnsi="Calibri" w:cs="Calibri"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nsid w:val="63283D17"/>
    <w:multiLevelType w:val="hybridMultilevel"/>
    <w:tmpl w:val="07F4673A"/>
    <w:lvl w:ilvl="0" w:tplc="08090015">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nsid w:val="64B41D97"/>
    <w:multiLevelType w:val="hybridMultilevel"/>
    <w:tmpl w:val="56C8B6D6"/>
    <w:lvl w:ilvl="0" w:tplc="E4E4C2CE">
      <w:start w:val="1"/>
      <w:numFmt w:val="decimal"/>
      <w:lvlText w:val="%1."/>
      <w:lvlJc w:val="left"/>
      <w:pPr>
        <w:ind w:left="2160" w:hanging="360"/>
      </w:pPr>
    </w:lvl>
    <w:lvl w:ilvl="1" w:tplc="95C87DFE" w:tentative="1">
      <w:start w:val="1"/>
      <w:numFmt w:val="lowerLetter"/>
      <w:lvlText w:val="%2."/>
      <w:lvlJc w:val="left"/>
      <w:pPr>
        <w:ind w:left="2880" w:hanging="360"/>
      </w:pPr>
    </w:lvl>
    <w:lvl w:ilvl="2" w:tplc="EEFE3B6A"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3">
    <w:nsid w:val="64C51F24"/>
    <w:multiLevelType w:val="hybridMultilevel"/>
    <w:tmpl w:val="0B1809E2"/>
    <w:lvl w:ilvl="0" w:tplc="0809000F">
      <w:start w:val="1"/>
      <w:numFmt w:val="lowerRoman"/>
      <w:lvlText w:val="%1."/>
      <w:lvlJc w:val="right"/>
      <w:pPr>
        <w:ind w:left="288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64CF2223"/>
    <w:multiLevelType w:val="hybridMultilevel"/>
    <w:tmpl w:val="B39E2E56"/>
    <w:lvl w:ilvl="0" w:tplc="0809000F">
      <w:start w:val="1"/>
      <w:numFmt w:val="bullet"/>
      <w:lvlText w:val=""/>
      <w:lvlJc w:val="left"/>
      <w:pPr>
        <w:ind w:left="2520" w:hanging="720"/>
      </w:pPr>
      <w:rPr>
        <w:rFonts w:ascii="Symbol" w:hAnsi="Symbol" w:hint="default"/>
      </w:rPr>
    </w:lvl>
    <w:lvl w:ilvl="1" w:tplc="04090019">
      <w:start w:val="1"/>
      <w:numFmt w:val="decimal"/>
      <w:lvlText w:val="%2."/>
      <w:lvlJc w:val="left"/>
      <w:pPr>
        <w:ind w:left="3960" w:hanging="360"/>
      </w:pPr>
      <w:rPr>
        <w:rFonts w:hint="default"/>
        <w:b/>
      </w:rPr>
    </w:lvl>
    <w:lvl w:ilvl="2" w:tplc="0409001B">
      <w:numFmt w:val="bullet"/>
      <w:lvlText w:val="•"/>
      <w:lvlJc w:val="left"/>
      <w:pPr>
        <w:ind w:left="4860" w:hanging="360"/>
      </w:pPr>
      <w:rPr>
        <w:rFonts w:ascii="Calibri" w:eastAsia="Calibri" w:hAnsi="Calibri" w:cs="Calibri" w:hint="default"/>
      </w:rPr>
    </w:lvl>
    <w:lvl w:ilvl="3" w:tplc="0409000F">
      <w:start w:val="1"/>
      <w:numFmt w:val="decimal"/>
      <w:lvlText w:val="%4)"/>
      <w:lvlJc w:val="left"/>
      <w:pPr>
        <w:ind w:left="5400" w:hanging="360"/>
      </w:pPr>
      <w:rPr>
        <w:rFonts w:hint="default"/>
      </w:r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5">
    <w:nsid w:val="650667DE"/>
    <w:multiLevelType w:val="hybridMultilevel"/>
    <w:tmpl w:val="AFCEE19E"/>
    <w:lvl w:ilvl="0" w:tplc="0409001B">
      <w:start w:val="1"/>
      <w:numFmt w:val="lowerRoman"/>
      <w:lvlText w:val="%1."/>
      <w:lvlJc w:val="right"/>
      <w:pPr>
        <w:ind w:left="2520" w:hanging="720"/>
      </w:pPr>
      <w:rPr>
        <w:rFonts w:hint="default"/>
      </w:rPr>
    </w:lvl>
    <w:lvl w:ilvl="1" w:tplc="40090019">
      <w:start w:val="1"/>
      <w:numFmt w:val="decimal"/>
      <w:lvlText w:val="%2."/>
      <w:lvlJc w:val="left"/>
      <w:pPr>
        <w:ind w:left="3960" w:hanging="360"/>
      </w:pPr>
      <w:rPr>
        <w:rFonts w:hint="default"/>
        <w:b/>
      </w:rPr>
    </w:lvl>
    <w:lvl w:ilvl="2" w:tplc="4009001B">
      <w:numFmt w:val="bullet"/>
      <w:lvlText w:val="•"/>
      <w:lvlJc w:val="left"/>
      <w:pPr>
        <w:ind w:left="4860" w:hanging="360"/>
      </w:pPr>
      <w:rPr>
        <w:rFonts w:ascii="Calibri" w:eastAsia="Calibri" w:hAnsi="Calibri" w:cs="Calibri" w:hint="default"/>
      </w:rPr>
    </w:lvl>
    <w:lvl w:ilvl="3" w:tplc="4009000F">
      <w:start w:val="1"/>
      <w:numFmt w:val="decimal"/>
      <w:lvlText w:val="%4)"/>
      <w:lvlJc w:val="left"/>
      <w:pPr>
        <w:ind w:left="5400" w:hanging="360"/>
      </w:pPr>
      <w:rPr>
        <w:rFonts w:hint="default"/>
      </w:rPr>
    </w:lvl>
    <w:lvl w:ilvl="4" w:tplc="40090019" w:tentative="1">
      <w:start w:val="1"/>
      <w:numFmt w:val="lowerLetter"/>
      <w:lvlText w:val="%5."/>
      <w:lvlJc w:val="left"/>
      <w:pPr>
        <w:ind w:left="6120" w:hanging="360"/>
      </w:pPr>
    </w:lvl>
    <w:lvl w:ilvl="5" w:tplc="4009001B" w:tentative="1">
      <w:start w:val="1"/>
      <w:numFmt w:val="lowerRoman"/>
      <w:lvlText w:val="%6."/>
      <w:lvlJc w:val="right"/>
      <w:pPr>
        <w:ind w:left="6840" w:hanging="180"/>
      </w:pPr>
    </w:lvl>
    <w:lvl w:ilvl="6" w:tplc="4009000F" w:tentative="1">
      <w:start w:val="1"/>
      <w:numFmt w:val="decimal"/>
      <w:lvlText w:val="%7."/>
      <w:lvlJc w:val="left"/>
      <w:pPr>
        <w:ind w:left="7560" w:hanging="360"/>
      </w:pPr>
    </w:lvl>
    <w:lvl w:ilvl="7" w:tplc="40090019" w:tentative="1">
      <w:start w:val="1"/>
      <w:numFmt w:val="lowerLetter"/>
      <w:lvlText w:val="%8."/>
      <w:lvlJc w:val="left"/>
      <w:pPr>
        <w:ind w:left="8280" w:hanging="360"/>
      </w:pPr>
    </w:lvl>
    <w:lvl w:ilvl="8" w:tplc="4009001B" w:tentative="1">
      <w:start w:val="1"/>
      <w:numFmt w:val="lowerRoman"/>
      <w:lvlText w:val="%9."/>
      <w:lvlJc w:val="right"/>
      <w:pPr>
        <w:ind w:left="9000" w:hanging="180"/>
      </w:pPr>
    </w:lvl>
  </w:abstractNum>
  <w:abstractNum w:abstractNumId="46">
    <w:nsid w:val="658A3E39"/>
    <w:multiLevelType w:val="hybridMultilevel"/>
    <w:tmpl w:val="B9D23142"/>
    <w:lvl w:ilvl="0" w:tplc="40090001">
      <w:start w:val="4"/>
      <w:numFmt w:val="upperLetter"/>
      <w:lvlText w:val="%1."/>
      <w:lvlJc w:val="left"/>
      <w:pPr>
        <w:ind w:left="1440" w:hanging="360"/>
      </w:pPr>
      <w:rPr>
        <w:rFonts w:hint="default"/>
      </w:rPr>
    </w:lvl>
    <w:lvl w:ilvl="1" w:tplc="95C87DFE" w:tentative="1">
      <w:start w:val="1"/>
      <w:numFmt w:val="lowerLetter"/>
      <w:lvlText w:val="%2."/>
      <w:lvlJc w:val="left"/>
      <w:pPr>
        <w:ind w:left="0" w:hanging="360"/>
      </w:pPr>
    </w:lvl>
    <w:lvl w:ilvl="2" w:tplc="EEFE3B6A" w:tentative="1">
      <w:start w:val="1"/>
      <w:numFmt w:val="lowerRoman"/>
      <w:lvlText w:val="%3."/>
      <w:lvlJc w:val="right"/>
      <w:pPr>
        <w:ind w:left="720" w:hanging="180"/>
      </w:pPr>
    </w:lvl>
    <w:lvl w:ilvl="3" w:tplc="76A0325C"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47">
    <w:nsid w:val="667309E7"/>
    <w:multiLevelType w:val="hybridMultilevel"/>
    <w:tmpl w:val="271CDDB0"/>
    <w:lvl w:ilvl="0" w:tplc="0809001B">
      <w:start w:val="1"/>
      <w:numFmt w:val="upperLetter"/>
      <w:lvlText w:val="%1."/>
      <w:lvlJc w:val="left"/>
      <w:pPr>
        <w:ind w:left="1800" w:hanging="360"/>
      </w:pPr>
      <w:rPr>
        <w:rFonts w:hint="default"/>
      </w:rPr>
    </w:lvl>
    <w:lvl w:ilvl="1" w:tplc="95C87DFE">
      <w:start w:val="1"/>
      <w:numFmt w:val="bullet"/>
      <w:lvlText w:val="o"/>
      <w:lvlJc w:val="left"/>
      <w:pPr>
        <w:ind w:left="2520" w:hanging="360"/>
      </w:pPr>
      <w:rPr>
        <w:rFonts w:ascii="Courier New" w:hAnsi="Courier New" w:cs="Courier New" w:hint="default"/>
      </w:rPr>
    </w:lvl>
    <w:lvl w:ilvl="2" w:tplc="EEFE3B6A">
      <w:start w:val="1"/>
      <w:numFmt w:val="bullet"/>
      <w:lvlText w:val=""/>
      <w:lvlJc w:val="left"/>
      <w:pPr>
        <w:ind w:left="3240" w:hanging="360"/>
      </w:pPr>
      <w:rPr>
        <w:rFonts w:ascii="Wingdings" w:hAnsi="Wingdings" w:hint="default"/>
      </w:rPr>
    </w:lvl>
    <w:lvl w:ilvl="3" w:tplc="76A0325C">
      <w:start w:val="1"/>
      <w:numFmt w:val="bullet"/>
      <w:lvlText w:val=""/>
      <w:lvlJc w:val="left"/>
      <w:pPr>
        <w:ind w:left="3960" w:hanging="360"/>
      </w:pPr>
      <w:rPr>
        <w:rFonts w:ascii="Symbol" w:hAnsi="Symbol" w:hint="default"/>
      </w:rPr>
    </w:lvl>
    <w:lvl w:ilvl="4" w:tplc="04090019" w:tentative="1">
      <w:start w:val="1"/>
      <w:numFmt w:val="bullet"/>
      <w:lvlText w:val="o"/>
      <w:lvlJc w:val="left"/>
      <w:pPr>
        <w:ind w:left="4680" w:hanging="360"/>
      </w:pPr>
      <w:rPr>
        <w:rFonts w:ascii="Courier New" w:hAnsi="Courier New" w:cs="Courier New" w:hint="default"/>
      </w:rPr>
    </w:lvl>
    <w:lvl w:ilvl="5" w:tplc="0409001B" w:tentative="1">
      <w:start w:val="1"/>
      <w:numFmt w:val="bullet"/>
      <w:lvlText w:val=""/>
      <w:lvlJc w:val="left"/>
      <w:pPr>
        <w:ind w:left="5400" w:hanging="360"/>
      </w:pPr>
      <w:rPr>
        <w:rFonts w:ascii="Wingdings" w:hAnsi="Wingdings" w:hint="default"/>
      </w:rPr>
    </w:lvl>
    <w:lvl w:ilvl="6" w:tplc="0409000F" w:tentative="1">
      <w:start w:val="1"/>
      <w:numFmt w:val="bullet"/>
      <w:lvlText w:val=""/>
      <w:lvlJc w:val="left"/>
      <w:pPr>
        <w:ind w:left="6120" w:hanging="360"/>
      </w:pPr>
      <w:rPr>
        <w:rFonts w:ascii="Symbol" w:hAnsi="Symbol" w:hint="default"/>
      </w:rPr>
    </w:lvl>
    <w:lvl w:ilvl="7" w:tplc="04090019" w:tentative="1">
      <w:start w:val="1"/>
      <w:numFmt w:val="bullet"/>
      <w:lvlText w:val="o"/>
      <w:lvlJc w:val="left"/>
      <w:pPr>
        <w:ind w:left="6840" w:hanging="360"/>
      </w:pPr>
      <w:rPr>
        <w:rFonts w:ascii="Courier New" w:hAnsi="Courier New" w:cs="Courier New" w:hint="default"/>
      </w:rPr>
    </w:lvl>
    <w:lvl w:ilvl="8" w:tplc="0409001B" w:tentative="1">
      <w:start w:val="1"/>
      <w:numFmt w:val="bullet"/>
      <w:lvlText w:val=""/>
      <w:lvlJc w:val="left"/>
      <w:pPr>
        <w:ind w:left="7560" w:hanging="360"/>
      </w:pPr>
      <w:rPr>
        <w:rFonts w:ascii="Wingdings" w:hAnsi="Wingdings" w:hint="default"/>
      </w:rPr>
    </w:lvl>
  </w:abstractNum>
  <w:abstractNum w:abstractNumId="48">
    <w:nsid w:val="6ADA713C"/>
    <w:multiLevelType w:val="hybridMultilevel"/>
    <w:tmpl w:val="3502F060"/>
    <w:lvl w:ilvl="0" w:tplc="E4E4C2CE">
      <w:start w:val="1"/>
      <w:numFmt w:val="upperLetter"/>
      <w:lvlText w:val="%1."/>
      <w:lvlJc w:val="left"/>
      <w:pPr>
        <w:ind w:left="2160" w:hanging="360"/>
      </w:pPr>
    </w:lvl>
    <w:lvl w:ilvl="1" w:tplc="40090003" w:tentative="1">
      <w:start w:val="1"/>
      <w:numFmt w:val="lowerLetter"/>
      <w:lvlText w:val="%2."/>
      <w:lvlJc w:val="left"/>
      <w:pPr>
        <w:ind w:left="2880" w:hanging="360"/>
      </w:pPr>
    </w:lvl>
    <w:lvl w:ilvl="2" w:tplc="40090005" w:tentative="1">
      <w:start w:val="1"/>
      <w:numFmt w:val="lowerRoman"/>
      <w:lvlText w:val="%3."/>
      <w:lvlJc w:val="right"/>
      <w:pPr>
        <w:ind w:left="3600" w:hanging="180"/>
      </w:pPr>
    </w:lvl>
    <w:lvl w:ilvl="3" w:tplc="40090001" w:tentative="1">
      <w:start w:val="1"/>
      <w:numFmt w:val="decimal"/>
      <w:lvlText w:val="%4."/>
      <w:lvlJc w:val="left"/>
      <w:pPr>
        <w:ind w:left="4320" w:hanging="360"/>
      </w:pPr>
    </w:lvl>
    <w:lvl w:ilvl="4" w:tplc="40090003" w:tentative="1">
      <w:start w:val="1"/>
      <w:numFmt w:val="lowerLetter"/>
      <w:lvlText w:val="%5."/>
      <w:lvlJc w:val="left"/>
      <w:pPr>
        <w:ind w:left="5040" w:hanging="360"/>
      </w:pPr>
    </w:lvl>
    <w:lvl w:ilvl="5" w:tplc="40090005" w:tentative="1">
      <w:start w:val="1"/>
      <w:numFmt w:val="lowerRoman"/>
      <w:lvlText w:val="%6."/>
      <w:lvlJc w:val="right"/>
      <w:pPr>
        <w:ind w:left="5760" w:hanging="180"/>
      </w:pPr>
    </w:lvl>
    <w:lvl w:ilvl="6" w:tplc="40090001" w:tentative="1">
      <w:start w:val="1"/>
      <w:numFmt w:val="decimal"/>
      <w:lvlText w:val="%7."/>
      <w:lvlJc w:val="left"/>
      <w:pPr>
        <w:ind w:left="6480" w:hanging="360"/>
      </w:pPr>
    </w:lvl>
    <w:lvl w:ilvl="7" w:tplc="40090003" w:tentative="1">
      <w:start w:val="1"/>
      <w:numFmt w:val="lowerLetter"/>
      <w:lvlText w:val="%8."/>
      <w:lvlJc w:val="left"/>
      <w:pPr>
        <w:ind w:left="7200" w:hanging="360"/>
      </w:pPr>
    </w:lvl>
    <w:lvl w:ilvl="8" w:tplc="40090005" w:tentative="1">
      <w:start w:val="1"/>
      <w:numFmt w:val="lowerRoman"/>
      <w:lvlText w:val="%9."/>
      <w:lvlJc w:val="right"/>
      <w:pPr>
        <w:ind w:left="7920" w:hanging="180"/>
      </w:pPr>
    </w:lvl>
  </w:abstractNum>
  <w:abstractNum w:abstractNumId="49">
    <w:nsid w:val="6C3B684F"/>
    <w:multiLevelType w:val="hybridMultilevel"/>
    <w:tmpl w:val="4EB61062"/>
    <w:lvl w:ilvl="0" w:tplc="E4E4C2CE">
      <w:start w:val="1"/>
      <w:numFmt w:val="decimal"/>
      <w:lvlText w:val="%1."/>
      <w:lvlJc w:val="left"/>
      <w:pPr>
        <w:ind w:left="2160" w:hanging="360"/>
      </w:pPr>
    </w:lvl>
    <w:lvl w:ilvl="1" w:tplc="04090019">
      <w:start w:val="1"/>
      <w:numFmt w:val="decimal"/>
      <w:lvlText w:val="%2."/>
      <w:lvlJc w:val="left"/>
      <w:pPr>
        <w:ind w:left="2880" w:hanging="360"/>
      </w:pPr>
    </w:lvl>
    <w:lvl w:ilvl="2" w:tplc="0409001B">
      <w:start w:val="1"/>
      <w:numFmt w:val="decimal"/>
      <w:lvlText w:val="(%3)"/>
      <w:lvlJc w:val="left"/>
      <w:pPr>
        <w:ind w:left="3840" w:hanging="420"/>
      </w:pPr>
      <w:rPr>
        <w:rFonts w:hint="default"/>
      </w:r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0">
    <w:nsid w:val="6D1760EE"/>
    <w:multiLevelType w:val="hybridMultilevel"/>
    <w:tmpl w:val="8CF40408"/>
    <w:lvl w:ilvl="0" w:tplc="04090015">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1">
    <w:nsid w:val="6E866690"/>
    <w:multiLevelType w:val="hybridMultilevel"/>
    <w:tmpl w:val="A0D8291A"/>
    <w:lvl w:ilvl="0" w:tplc="0409000F">
      <w:start w:val="1"/>
      <w:numFmt w:val="decimal"/>
      <w:lvlText w:val="%1."/>
      <w:lvlJc w:val="left"/>
      <w:pPr>
        <w:ind w:left="1800" w:hanging="360"/>
      </w:pPr>
    </w:lvl>
    <w:lvl w:ilvl="1" w:tplc="0409000F" w:tentative="1">
      <w:start w:val="1"/>
      <w:numFmt w:val="lowerLetter"/>
      <w:lvlText w:val="%2."/>
      <w:lvlJc w:val="left"/>
      <w:pPr>
        <w:ind w:left="2520" w:hanging="360"/>
      </w:pPr>
    </w:lvl>
    <w:lvl w:ilvl="2" w:tplc="FBD236D2"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2">
    <w:nsid w:val="71DC6253"/>
    <w:multiLevelType w:val="hybridMultilevel"/>
    <w:tmpl w:val="65CA8BAC"/>
    <w:lvl w:ilvl="0" w:tplc="08090015">
      <w:start w:val="1"/>
      <w:numFmt w:val="decimal"/>
      <w:lvlText w:val="%1."/>
      <w:lvlJc w:val="left"/>
      <w:pPr>
        <w:ind w:left="1800" w:hanging="360"/>
      </w:pPr>
      <w:rPr>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
    <w:nsid w:val="72877A56"/>
    <w:multiLevelType w:val="hybridMultilevel"/>
    <w:tmpl w:val="EF820F32"/>
    <w:lvl w:ilvl="0" w:tplc="F0A0A956">
      <w:start w:val="1"/>
      <w:numFmt w:val="decimal"/>
      <w:lvlText w:val="%1."/>
      <w:lvlJc w:val="left"/>
      <w:pPr>
        <w:ind w:left="1800" w:hanging="360"/>
      </w:p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54">
    <w:nsid w:val="73F25B2A"/>
    <w:multiLevelType w:val="hybridMultilevel"/>
    <w:tmpl w:val="8A8EF34A"/>
    <w:lvl w:ilvl="0" w:tplc="0809000F">
      <w:start w:val="1"/>
      <w:numFmt w:val="decimal"/>
      <w:lvlText w:val="%1."/>
      <w:lvlJc w:val="left"/>
      <w:pPr>
        <w:ind w:left="2160" w:hanging="360"/>
      </w:pPr>
    </w:lvl>
    <w:lvl w:ilvl="1" w:tplc="08090019">
      <w:start w:val="1"/>
      <w:numFmt w:val="lowerRoman"/>
      <w:lvlText w:val="%2."/>
      <w:lvlJc w:val="right"/>
      <w:pPr>
        <w:ind w:left="2880" w:hanging="360"/>
      </w:pPr>
    </w:lvl>
    <w:lvl w:ilvl="2" w:tplc="0809001B">
      <w:start w:val="1"/>
      <w:numFmt w:val="decimal"/>
      <w:lvlText w:val="(%3)"/>
      <w:lvlJc w:val="left"/>
      <w:pPr>
        <w:ind w:left="3840" w:hanging="420"/>
      </w:pPr>
      <w:rPr>
        <w:rFonts w:hint="default"/>
      </w:r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55">
    <w:nsid w:val="75D838AD"/>
    <w:multiLevelType w:val="hybridMultilevel"/>
    <w:tmpl w:val="F8EAD54E"/>
    <w:lvl w:ilvl="0" w:tplc="0409000F">
      <w:start w:val="1"/>
      <w:numFmt w:val="upperLetter"/>
      <w:lvlText w:val="%1."/>
      <w:lvlJc w:val="left"/>
      <w:pPr>
        <w:ind w:left="360" w:hanging="360"/>
      </w:pPr>
    </w:lvl>
    <w:lvl w:ilvl="1" w:tplc="0409001B">
      <w:start w:val="1"/>
      <w:numFmt w:val="lowerLetter"/>
      <w:lvlText w:val="%2."/>
      <w:lvlJc w:val="left"/>
      <w:pPr>
        <w:ind w:left="1440" w:hanging="360"/>
      </w:pPr>
    </w:lvl>
    <w:lvl w:ilvl="2" w:tplc="FBD236D2"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6DE6A0C"/>
    <w:multiLevelType w:val="hybridMultilevel"/>
    <w:tmpl w:val="EE5E54C6"/>
    <w:lvl w:ilvl="0" w:tplc="40090015">
      <w:start w:val="1"/>
      <w:numFmt w:val="decimal"/>
      <w:lvlText w:val="%1)"/>
      <w:lvlJc w:val="left"/>
      <w:pPr>
        <w:ind w:left="2137" w:hanging="360"/>
      </w:pPr>
      <w:rPr>
        <w:b/>
      </w:rPr>
    </w:lvl>
    <w:lvl w:ilvl="1" w:tplc="04090019" w:tentative="1">
      <w:start w:val="1"/>
      <w:numFmt w:val="lowerLetter"/>
      <w:lvlText w:val="%2."/>
      <w:lvlJc w:val="left"/>
      <w:pPr>
        <w:ind w:left="2857" w:hanging="360"/>
      </w:pPr>
    </w:lvl>
    <w:lvl w:ilvl="2" w:tplc="0409001B" w:tentative="1">
      <w:start w:val="1"/>
      <w:numFmt w:val="lowerRoman"/>
      <w:lvlText w:val="%3."/>
      <w:lvlJc w:val="right"/>
      <w:pPr>
        <w:ind w:left="3577" w:hanging="180"/>
      </w:pPr>
    </w:lvl>
    <w:lvl w:ilvl="3" w:tplc="0409000F" w:tentative="1">
      <w:start w:val="1"/>
      <w:numFmt w:val="decimal"/>
      <w:lvlText w:val="%4."/>
      <w:lvlJc w:val="left"/>
      <w:pPr>
        <w:ind w:left="4297" w:hanging="360"/>
      </w:pPr>
    </w:lvl>
    <w:lvl w:ilvl="4" w:tplc="04090019" w:tentative="1">
      <w:start w:val="1"/>
      <w:numFmt w:val="lowerLetter"/>
      <w:lvlText w:val="%5."/>
      <w:lvlJc w:val="left"/>
      <w:pPr>
        <w:ind w:left="5017" w:hanging="360"/>
      </w:pPr>
    </w:lvl>
    <w:lvl w:ilvl="5" w:tplc="0409001B" w:tentative="1">
      <w:start w:val="1"/>
      <w:numFmt w:val="lowerRoman"/>
      <w:lvlText w:val="%6."/>
      <w:lvlJc w:val="right"/>
      <w:pPr>
        <w:ind w:left="5737" w:hanging="180"/>
      </w:pPr>
    </w:lvl>
    <w:lvl w:ilvl="6" w:tplc="0409000F" w:tentative="1">
      <w:start w:val="1"/>
      <w:numFmt w:val="decimal"/>
      <w:lvlText w:val="%7."/>
      <w:lvlJc w:val="left"/>
      <w:pPr>
        <w:ind w:left="6457" w:hanging="360"/>
      </w:pPr>
    </w:lvl>
    <w:lvl w:ilvl="7" w:tplc="04090019" w:tentative="1">
      <w:start w:val="1"/>
      <w:numFmt w:val="lowerLetter"/>
      <w:lvlText w:val="%8."/>
      <w:lvlJc w:val="left"/>
      <w:pPr>
        <w:ind w:left="7177" w:hanging="360"/>
      </w:pPr>
    </w:lvl>
    <w:lvl w:ilvl="8" w:tplc="0409001B" w:tentative="1">
      <w:start w:val="1"/>
      <w:numFmt w:val="lowerRoman"/>
      <w:lvlText w:val="%9."/>
      <w:lvlJc w:val="right"/>
      <w:pPr>
        <w:ind w:left="7897" w:hanging="180"/>
      </w:pPr>
    </w:lvl>
  </w:abstractNum>
  <w:abstractNum w:abstractNumId="57">
    <w:nsid w:val="7C657AB9"/>
    <w:multiLevelType w:val="hybridMultilevel"/>
    <w:tmpl w:val="3502F060"/>
    <w:lvl w:ilvl="0" w:tplc="0809001B">
      <w:start w:val="1"/>
      <w:numFmt w:val="upperLetter"/>
      <w:lvlText w:val="%1."/>
      <w:lvlJc w:val="left"/>
      <w:pPr>
        <w:ind w:left="2160" w:hanging="360"/>
      </w:pPr>
    </w:lvl>
    <w:lvl w:ilvl="1" w:tplc="95C87DFE">
      <w:start w:val="1"/>
      <w:numFmt w:val="lowerLetter"/>
      <w:lvlText w:val="%2."/>
      <w:lvlJc w:val="left"/>
      <w:pPr>
        <w:ind w:left="2880" w:hanging="360"/>
      </w:pPr>
    </w:lvl>
    <w:lvl w:ilvl="2" w:tplc="EEFE3B6A" w:tentative="1">
      <w:start w:val="1"/>
      <w:numFmt w:val="lowerRoman"/>
      <w:lvlText w:val="%3."/>
      <w:lvlJc w:val="right"/>
      <w:pPr>
        <w:ind w:left="3600" w:hanging="180"/>
      </w:pPr>
    </w:lvl>
    <w:lvl w:ilvl="3" w:tplc="76A0325C"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8">
    <w:nsid w:val="7D18552F"/>
    <w:multiLevelType w:val="hybridMultilevel"/>
    <w:tmpl w:val="6EE269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nsid w:val="7D6B580A"/>
    <w:multiLevelType w:val="hybridMultilevel"/>
    <w:tmpl w:val="95AA364C"/>
    <w:lvl w:ilvl="0" w:tplc="04090015">
      <w:start w:val="2"/>
      <w:numFmt w:val="upperLetter"/>
      <w:lvlText w:val="%1."/>
      <w:lvlJc w:val="left"/>
      <w:pPr>
        <w:ind w:left="1440" w:hanging="36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60">
    <w:nsid w:val="7E030149"/>
    <w:multiLevelType w:val="hybridMultilevel"/>
    <w:tmpl w:val="E0828400"/>
    <w:lvl w:ilvl="0" w:tplc="0409000F">
      <w:start w:val="1"/>
      <w:numFmt w:val="bullet"/>
      <w:lvlText w:val=""/>
      <w:lvlJc w:val="left"/>
      <w:pPr>
        <w:ind w:left="720" w:hanging="360"/>
      </w:pPr>
      <w:rPr>
        <w:rFonts w:ascii="Symbol" w:hAnsi="Symbol" w:hint="default"/>
      </w:rPr>
    </w:lvl>
    <w:lvl w:ilvl="1" w:tplc="0409000F" w:tentative="1">
      <w:start w:val="1"/>
      <w:numFmt w:val="bullet"/>
      <w:lvlText w:val="o"/>
      <w:lvlJc w:val="left"/>
      <w:pPr>
        <w:ind w:left="1440" w:hanging="360"/>
      </w:pPr>
      <w:rPr>
        <w:rFonts w:ascii="Courier New" w:hAnsi="Courier New" w:cs="Courier New" w:hint="default"/>
      </w:rPr>
    </w:lvl>
    <w:lvl w:ilvl="2" w:tplc="FBD236D2"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61">
    <w:nsid w:val="7EAC597B"/>
    <w:multiLevelType w:val="hybridMultilevel"/>
    <w:tmpl w:val="29005DB0"/>
    <w:lvl w:ilvl="0" w:tplc="08090001">
      <w:start w:val="1"/>
      <w:numFmt w:val="lowerRoman"/>
      <w:lvlText w:val="%1."/>
      <w:lvlJc w:val="right"/>
      <w:pPr>
        <w:ind w:left="1800" w:hanging="360"/>
      </w:pPr>
    </w:lvl>
    <w:lvl w:ilvl="1" w:tplc="08090003" w:tentative="1">
      <w:start w:val="1"/>
      <w:numFmt w:val="lowerLetter"/>
      <w:lvlText w:val="%2."/>
      <w:lvlJc w:val="left"/>
      <w:pPr>
        <w:ind w:left="2520" w:hanging="360"/>
      </w:pPr>
    </w:lvl>
    <w:lvl w:ilvl="2" w:tplc="08090005" w:tentative="1">
      <w:start w:val="1"/>
      <w:numFmt w:val="lowerRoman"/>
      <w:lvlText w:val="%3."/>
      <w:lvlJc w:val="right"/>
      <w:pPr>
        <w:ind w:left="3240" w:hanging="180"/>
      </w:pPr>
    </w:lvl>
    <w:lvl w:ilvl="3" w:tplc="08090001" w:tentative="1">
      <w:start w:val="1"/>
      <w:numFmt w:val="decimal"/>
      <w:lvlText w:val="%4."/>
      <w:lvlJc w:val="left"/>
      <w:pPr>
        <w:ind w:left="3960" w:hanging="360"/>
      </w:pPr>
    </w:lvl>
    <w:lvl w:ilvl="4" w:tplc="08090003" w:tentative="1">
      <w:start w:val="1"/>
      <w:numFmt w:val="lowerLetter"/>
      <w:lvlText w:val="%5."/>
      <w:lvlJc w:val="left"/>
      <w:pPr>
        <w:ind w:left="4680" w:hanging="360"/>
      </w:pPr>
    </w:lvl>
    <w:lvl w:ilvl="5" w:tplc="08090005" w:tentative="1">
      <w:start w:val="1"/>
      <w:numFmt w:val="lowerRoman"/>
      <w:lvlText w:val="%6."/>
      <w:lvlJc w:val="right"/>
      <w:pPr>
        <w:ind w:left="5400" w:hanging="180"/>
      </w:pPr>
    </w:lvl>
    <w:lvl w:ilvl="6" w:tplc="08090001" w:tentative="1">
      <w:start w:val="1"/>
      <w:numFmt w:val="decimal"/>
      <w:lvlText w:val="%7."/>
      <w:lvlJc w:val="left"/>
      <w:pPr>
        <w:ind w:left="6120" w:hanging="360"/>
      </w:pPr>
    </w:lvl>
    <w:lvl w:ilvl="7" w:tplc="08090003" w:tentative="1">
      <w:start w:val="1"/>
      <w:numFmt w:val="lowerLetter"/>
      <w:lvlText w:val="%8."/>
      <w:lvlJc w:val="left"/>
      <w:pPr>
        <w:ind w:left="6840" w:hanging="360"/>
      </w:pPr>
    </w:lvl>
    <w:lvl w:ilvl="8" w:tplc="08090005" w:tentative="1">
      <w:start w:val="1"/>
      <w:numFmt w:val="lowerRoman"/>
      <w:lvlText w:val="%9."/>
      <w:lvlJc w:val="right"/>
      <w:pPr>
        <w:ind w:left="7560" w:hanging="180"/>
      </w:pPr>
    </w:lvl>
  </w:abstractNum>
  <w:abstractNum w:abstractNumId="62">
    <w:nsid w:val="7F105C72"/>
    <w:multiLevelType w:val="hybridMultilevel"/>
    <w:tmpl w:val="A25E9EFA"/>
    <w:lvl w:ilvl="0" w:tplc="7B943F34">
      <w:start w:val="1"/>
      <w:numFmt w:val="upperLetter"/>
      <w:pStyle w:val="Heading2"/>
      <w:lvlText w:val="%1."/>
      <w:lvlJc w:val="left"/>
      <w:pPr>
        <w:ind w:left="1440" w:hanging="36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63">
    <w:nsid w:val="7FA23565"/>
    <w:multiLevelType w:val="hybridMultilevel"/>
    <w:tmpl w:val="5FDA9736"/>
    <w:lvl w:ilvl="0" w:tplc="4009001B">
      <w:start w:val="1"/>
      <w:numFmt w:val="decimal"/>
      <w:lvlText w:val="%1."/>
      <w:lvlJc w:val="left"/>
      <w:pPr>
        <w:ind w:left="2160" w:hanging="360"/>
      </w:pPr>
    </w:lvl>
    <w:lvl w:ilvl="1" w:tplc="40090019">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num w:numId="1">
    <w:abstractNumId w:val="22"/>
  </w:num>
  <w:num w:numId="2">
    <w:abstractNumId w:val="13"/>
  </w:num>
  <w:num w:numId="3">
    <w:abstractNumId w:val="17"/>
  </w:num>
  <w:num w:numId="4">
    <w:abstractNumId w:val="48"/>
  </w:num>
  <w:num w:numId="5">
    <w:abstractNumId w:val="3"/>
  </w:num>
  <w:num w:numId="6">
    <w:abstractNumId w:val="25"/>
  </w:num>
  <w:num w:numId="7">
    <w:abstractNumId w:val="11"/>
  </w:num>
  <w:num w:numId="8">
    <w:abstractNumId w:val="6"/>
  </w:num>
  <w:num w:numId="9">
    <w:abstractNumId w:val="31"/>
  </w:num>
  <w:num w:numId="10">
    <w:abstractNumId w:val="57"/>
  </w:num>
  <w:num w:numId="11">
    <w:abstractNumId w:val="52"/>
  </w:num>
  <w:num w:numId="12">
    <w:abstractNumId w:val="2"/>
  </w:num>
  <w:num w:numId="13">
    <w:abstractNumId w:val="26"/>
  </w:num>
  <w:num w:numId="14">
    <w:abstractNumId w:val="35"/>
  </w:num>
  <w:num w:numId="15">
    <w:abstractNumId w:val="12"/>
  </w:num>
  <w:num w:numId="16">
    <w:abstractNumId w:val="0"/>
  </w:num>
  <w:num w:numId="17">
    <w:abstractNumId w:val="5"/>
  </w:num>
  <w:num w:numId="18">
    <w:abstractNumId w:val="24"/>
  </w:num>
  <w:num w:numId="19">
    <w:abstractNumId w:val="39"/>
  </w:num>
  <w:num w:numId="20">
    <w:abstractNumId w:val="49"/>
  </w:num>
  <w:num w:numId="21">
    <w:abstractNumId w:val="47"/>
  </w:num>
  <w:num w:numId="22">
    <w:abstractNumId w:val="7"/>
  </w:num>
  <w:num w:numId="23">
    <w:abstractNumId w:val="40"/>
  </w:num>
  <w:num w:numId="24">
    <w:abstractNumId w:val="14"/>
  </w:num>
  <w:num w:numId="25">
    <w:abstractNumId w:val="9"/>
  </w:num>
  <w:num w:numId="26">
    <w:abstractNumId w:val="34"/>
  </w:num>
  <w:num w:numId="27">
    <w:abstractNumId w:val="8"/>
  </w:num>
  <w:num w:numId="28">
    <w:abstractNumId w:val="29"/>
  </w:num>
  <w:num w:numId="29">
    <w:abstractNumId w:val="19"/>
  </w:num>
  <w:num w:numId="30">
    <w:abstractNumId w:val="44"/>
  </w:num>
  <w:num w:numId="31">
    <w:abstractNumId w:val="61"/>
  </w:num>
  <w:num w:numId="32">
    <w:abstractNumId w:val="33"/>
  </w:num>
  <w:num w:numId="33">
    <w:abstractNumId w:val="37"/>
  </w:num>
  <w:num w:numId="34">
    <w:abstractNumId w:val="60"/>
  </w:num>
  <w:num w:numId="35">
    <w:abstractNumId w:val="42"/>
  </w:num>
  <w:num w:numId="36">
    <w:abstractNumId w:val="23"/>
  </w:num>
  <w:num w:numId="37">
    <w:abstractNumId w:val="50"/>
  </w:num>
  <w:num w:numId="38">
    <w:abstractNumId w:val="63"/>
  </w:num>
  <w:num w:numId="39">
    <w:abstractNumId w:val="54"/>
  </w:num>
  <w:num w:numId="40">
    <w:abstractNumId w:val="43"/>
  </w:num>
  <w:num w:numId="41">
    <w:abstractNumId w:val="32"/>
  </w:num>
  <w:num w:numId="42">
    <w:abstractNumId w:val="51"/>
  </w:num>
  <w:num w:numId="43">
    <w:abstractNumId w:val="27"/>
  </w:num>
  <w:num w:numId="44">
    <w:abstractNumId w:val="4"/>
  </w:num>
  <w:num w:numId="45">
    <w:abstractNumId w:val="53"/>
  </w:num>
  <w:num w:numId="46">
    <w:abstractNumId w:val="18"/>
  </w:num>
  <w:num w:numId="47">
    <w:abstractNumId w:val="45"/>
  </w:num>
  <w:num w:numId="48">
    <w:abstractNumId w:val="28"/>
  </w:num>
  <w:num w:numId="49">
    <w:abstractNumId w:val="1"/>
  </w:num>
  <w:num w:numId="50">
    <w:abstractNumId w:val="59"/>
  </w:num>
  <w:num w:numId="51">
    <w:abstractNumId w:val="38"/>
  </w:num>
  <w:num w:numId="52">
    <w:abstractNumId w:val="46"/>
  </w:num>
  <w:num w:numId="53">
    <w:abstractNumId w:val="10"/>
  </w:num>
  <w:num w:numId="54">
    <w:abstractNumId w:val="56"/>
  </w:num>
  <w:num w:numId="55">
    <w:abstractNumId w:val="30"/>
  </w:num>
  <w:num w:numId="56">
    <w:abstractNumId w:val="15"/>
  </w:num>
  <w:num w:numId="57">
    <w:abstractNumId w:val="21"/>
  </w:num>
  <w:num w:numId="58">
    <w:abstractNumId w:val="41"/>
  </w:num>
  <w:num w:numId="59">
    <w:abstractNumId w:val="20"/>
  </w:num>
  <w:num w:numId="60">
    <w:abstractNumId w:val="55"/>
  </w:num>
  <w:num w:numId="61">
    <w:abstractNumId w:val="58"/>
  </w:num>
  <w:num w:numId="62">
    <w:abstractNumId w:val="36"/>
  </w:num>
  <w:num w:numId="63">
    <w:abstractNumId w:val="16"/>
  </w:num>
  <w:num w:numId="64">
    <w:abstractNumId w:val="62"/>
  </w:num>
  <w:num w:numId="65">
    <w:abstractNumId w:val="62"/>
    <w:lvlOverride w:ilvl="0">
      <w:startOverride w:val="1"/>
    </w:lvlOverride>
  </w:num>
  <w:num w:numId="66">
    <w:abstractNumId w:val="62"/>
    <w:lvlOverride w:ilvl="0">
      <w:startOverride w:val="1"/>
    </w:lvlOverride>
  </w:num>
  <w:num w:numId="67">
    <w:abstractNumId w:val="62"/>
    <w:lvlOverride w:ilvl="0">
      <w:startOverride w:val="1"/>
    </w:lvlOverride>
  </w:num>
  <w:num w:numId="68">
    <w:abstractNumId w:val="62"/>
    <w:lvlOverride w:ilvl="0">
      <w:startOverride w:val="1"/>
    </w:lvlOverride>
  </w:num>
  <w:num w:numId="69">
    <w:abstractNumId w:val="62"/>
    <w:lvlOverride w:ilvl="0">
      <w:startOverride w:val="1"/>
    </w:lvlOverride>
  </w:num>
  <w:num w:numId="70">
    <w:abstractNumId w:val="62"/>
    <w:lvlOverride w:ilvl="0">
      <w:startOverride w:val="1"/>
    </w:lvlOverride>
  </w:num>
  <w:num w:numId="71">
    <w:abstractNumId w:val="62"/>
    <w:lvlOverride w:ilvl="0">
      <w:startOverride w:val="1"/>
    </w:lvlOverride>
  </w:num>
  <w:numIdMacAtCleanup w:val="7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ori noco">
    <w15:presenceInfo w15:providerId="Windows Live" w15:userId="2ee6392700e35e51"/>
  </w15:person>
  <w15:person w15:author="Didier Maze">
    <w15:presenceInfo w15:providerId="None" w15:userId="Didier Maze"/>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proofState w:grammar="clean"/>
  <w:attachedTemplate r:id="rId1"/>
  <w:doNotTrackFormatting/>
  <w:defaultTabStop w:val="720"/>
  <w:hyphenationZone w:val="425"/>
  <w:drawingGridHorizontalSpacing w:val="110"/>
  <w:displayHorizontalDrawingGridEvery w:val="2"/>
  <w:characterSpacingControl w:val="doNotCompress"/>
  <w:hdrShapeDefaults>
    <o:shapedefaults v:ext="edit" spidmax="22530"/>
    <o:shapelayout v:ext="edit">
      <o:idmap v:ext="edit" data="2"/>
      <o:rules v:ext="edit">
        <o:r id="V:Rule2" type="connector" idref="#_x0000_s2049"/>
      </o:rules>
    </o:shapelayout>
  </w:hdrShapeDefaults>
  <w:footnotePr>
    <w:footnote w:id="-1"/>
    <w:footnote w:id="0"/>
  </w:footnotePr>
  <w:endnotePr>
    <w:endnote w:id="-1"/>
    <w:endnote w:id="0"/>
  </w:endnotePr>
  <w:compat/>
  <w:rsids>
    <w:rsidRoot w:val="00733FA5"/>
    <w:rsid w:val="000005C7"/>
    <w:rsid w:val="00015054"/>
    <w:rsid w:val="00022274"/>
    <w:rsid w:val="00027069"/>
    <w:rsid w:val="00032DF5"/>
    <w:rsid w:val="00035A9F"/>
    <w:rsid w:val="0003685D"/>
    <w:rsid w:val="00037EB1"/>
    <w:rsid w:val="00040EFD"/>
    <w:rsid w:val="0004161E"/>
    <w:rsid w:val="00047574"/>
    <w:rsid w:val="00065834"/>
    <w:rsid w:val="000719DA"/>
    <w:rsid w:val="0008079C"/>
    <w:rsid w:val="00090319"/>
    <w:rsid w:val="00095344"/>
    <w:rsid w:val="000A3C3B"/>
    <w:rsid w:val="000B48E8"/>
    <w:rsid w:val="000C3F26"/>
    <w:rsid w:val="000D7BD4"/>
    <w:rsid w:val="000E08F9"/>
    <w:rsid w:val="000E1709"/>
    <w:rsid w:val="000E2F42"/>
    <w:rsid w:val="000F2F78"/>
    <w:rsid w:val="000F5D25"/>
    <w:rsid w:val="0010035B"/>
    <w:rsid w:val="0010080F"/>
    <w:rsid w:val="001032F9"/>
    <w:rsid w:val="001103DC"/>
    <w:rsid w:val="001106CC"/>
    <w:rsid w:val="001208C1"/>
    <w:rsid w:val="00125EA0"/>
    <w:rsid w:val="00132404"/>
    <w:rsid w:val="00133D45"/>
    <w:rsid w:val="00134752"/>
    <w:rsid w:val="001356D7"/>
    <w:rsid w:val="00140E5F"/>
    <w:rsid w:val="001433ED"/>
    <w:rsid w:val="00143498"/>
    <w:rsid w:val="00155B23"/>
    <w:rsid w:val="001728D4"/>
    <w:rsid w:val="00173C25"/>
    <w:rsid w:val="00176449"/>
    <w:rsid w:val="00177AEE"/>
    <w:rsid w:val="0018700A"/>
    <w:rsid w:val="00197461"/>
    <w:rsid w:val="001A6783"/>
    <w:rsid w:val="001A7ACC"/>
    <w:rsid w:val="001B35B6"/>
    <w:rsid w:val="001B3D0C"/>
    <w:rsid w:val="001B3F81"/>
    <w:rsid w:val="001B4357"/>
    <w:rsid w:val="001C1632"/>
    <w:rsid w:val="001C3FD7"/>
    <w:rsid w:val="001C7190"/>
    <w:rsid w:val="001D57CC"/>
    <w:rsid w:val="001E00A2"/>
    <w:rsid w:val="001E1D0D"/>
    <w:rsid w:val="001E6085"/>
    <w:rsid w:val="001F158A"/>
    <w:rsid w:val="001F189A"/>
    <w:rsid w:val="001F1BFA"/>
    <w:rsid w:val="00202C43"/>
    <w:rsid w:val="002055C5"/>
    <w:rsid w:val="00233467"/>
    <w:rsid w:val="002436D7"/>
    <w:rsid w:val="00252E64"/>
    <w:rsid w:val="002624C3"/>
    <w:rsid w:val="0027075D"/>
    <w:rsid w:val="00275146"/>
    <w:rsid w:val="00295993"/>
    <w:rsid w:val="002A482C"/>
    <w:rsid w:val="002B78F4"/>
    <w:rsid w:val="002C2BF2"/>
    <w:rsid w:val="002C40FD"/>
    <w:rsid w:val="002D1533"/>
    <w:rsid w:val="002D79B8"/>
    <w:rsid w:val="002F2808"/>
    <w:rsid w:val="002F61B2"/>
    <w:rsid w:val="002F7436"/>
    <w:rsid w:val="00303A15"/>
    <w:rsid w:val="00304C0B"/>
    <w:rsid w:val="00306181"/>
    <w:rsid w:val="00312C29"/>
    <w:rsid w:val="00314D55"/>
    <w:rsid w:val="0031644E"/>
    <w:rsid w:val="00316AEC"/>
    <w:rsid w:val="00321002"/>
    <w:rsid w:val="003212F5"/>
    <w:rsid w:val="003220B9"/>
    <w:rsid w:val="003266EA"/>
    <w:rsid w:val="00333F58"/>
    <w:rsid w:val="00337627"/>
    <w:rsid w:val="00340574"/>
    <w:rsid w:val="0035593D"/>
    <w:rsid w:val="00356246"/>
    <w:rsid w:val="00360076"/>
    <w:rsid w:val="00370EA4"/>
    <w:rsid w:val="00371BE8"/>
    <w:rsid w:val="00371C6E"/>
    <w:rsid w:val="00371F13"/>
    <w:rsid w:val="0037620F"/>
    <w:rsid w:val="00376C5E"/>
    <w:rsid w:val="0038715D"/>
    <w:rsid w:val="003A3575"/>
    <w:rsid w:val="003B0A85"/>
    <w:rsid w:val="003B5751"/>
    <w:rsid w:val="003B6AC8"/>
    <w:rsid w:val="003C26EC"/>
    <w:rsid w:val="003C55D5"/>
    <w:rsid w:val="003C5719"/>
    <w:rsid w:val="003E59C5"/>
    <w:rsid w:val="003E6A10"/>
    <w:rsid w:val="003E7C17"/>
    <w:rsid w:val="003F1E23"/>
    <w:rsid w:val="003F7D1C"/>
    <w:rsid w:val="00400916"/>
    <w:rsid w:val="0040233B"/>
    <w:rsid w:val="00403861"/>
    <w:rsid w:val="004046ED"/>
    <w:rsid w:val="00405AF4"/>
    <w:rsid w:val="00405CAE"/>
    <w:rsid w:val="00405FC8"/>
    <w:rsid w:val="00410C6A"/>
    <w:rsid w:val="004129F0"/>
    <w:rsid w:val="00427151"/>
    <w:rsid w:val="004437F8"/>
    <w:rsid w:val="00444415"/>
    <w:rsid w:val="00454682"/>
    <w:rsid w:val="00457B63"/>
    <w:rsid w:val="004649FB"/>
    <w:rsid w:val="00466E0E"/>
    <w:rsid w:val="00472291"/>
    <w:rsid w:val="00473247"/>
    <w:rsid w:val="0047535D"/>
    <w:rsid w:val="00476AF4"/>
    <w:rsid w:val="00480AD4"/>
    <w:rsid w:val="00481917"/>
    <w:rsid w:val="00484C08"/>
    <w:rsid w:val="004854DB"/>
    <w:rsid w:val="00491C63"/>
    <w:rsid w:val="00491C6B"/>
    <w:rsid w:val="00492531"/>
    <w:rsid w:val="00495635"/>
    <w:rsid w:val="004A5073"/>
    <w:rsid w:val="004B441D"/>
    <w:rsid w:val="004C4476"/>
    <w:rsid w:val="004C44F2"/>
    <w:rsid w:val="004D192E"/>
    <w:rsid w:val="004D1F57"/>
    <w:rsid w:val="004D2F29"/>
    <w:rsid w:val="004D5099"/>
    <w:rsid w:val="004D7603"/>
    <w:rsid w:val="004E0B5A"/>
    <w:rsid w:val="004E2C56"/>
    <w:rsid w:val="004E6852"/>
    <w:rsid w:val="004F2197"/>
    <w:rsid w:val="004F5ED2"/>
    <w:rsid w:val="004F6758"/>
    <w:rsid w:val="004F71F5"/>
    <w:rsid w:val="00501866"/>
    <w:rsid w:val="00501910"/>
    <w:rsid w:val="00502626"/>
    <w:rsid w:val="005212C7"/>
    <w:rsid w:val="005231FA"/>
    <w:rsid w:val="0052715E"/>
    <w:rsid w:val="00531B07"/>
    <w:rsid w:val="0053750D"/>
    <w:rsid w:val="00547B31"/>
    <w:rsid w:val="0055176B"/>
    <w:rsid w:val="005530B8"/>
    <w:rsid w:val="00557BFE"/>
    <w:rsid w:val="0056276A"/>
    <w:rsid w:val="005641E7"/>
    <w:rsid w:val="005745A0"/>
    <w:rsid w:val="00582955"/>
    <w:rsid w:val="005A0988"/>
    <w:rsid w:val="005A22DD"/>
    <w:rsid w:val="005A3439"/>
    <w:rsid w:val="005A798A"/>
    <w:rsid w:val="005B0D39"/>
    <w:rsid w:val="005B3C19"/>
    <w:rsid w:val="005B422D"/>
    <w:rsid w:val="005B4488"/>
    <w:rsid w:val="005B6614"/>
    <w:rsid w:val="005C191A"/>
    <w:rsid w:val="005C27C8"/>
    <w:rsid w:val="005C6D0C"/>
    <w:rsid w:val="005D0BC9"/>
    <w:rsid w:val="005D2D4F"/>
    <w:rsid w:val="005D6A8A"/>
    <w:rsid w:val="005E08F1"/>
    <w:rsid w:val="005E34C6"/>
    <w:rsid w:val="005F4694"/>
    <w:rsid w:val="005F5B92"/>
    <w:rsid w:val="005F7056"/>
    <w:rsid w:val="00602736"/>
    <w:rsid w:val="00612B61"/>
    <w:rsid w:val="00612BEB"/>
    <w:rsid w:val="00616220"/>
    <w:rsid w:val="00617CC3"/>
    <w:rsid w:val="006229A1"/>
    <w:rsid w:val="00626EFC"/>
    <w:rsid w:val="006322A8"/>
    <w:rsid w:val="006427B1"/>
    <w:rsid w:val="00642CE1"/>
    <w:rsid w:val="0064315D"/>
    <w:rsid w:val="006436A3"/>
    <w:rsid w:val="00650ABB"/>
    <w:rsid w:val="006570F5"/>
    <w:rsid w:val="00657BA9"/>
    <w:rsid w:val="00662D43"/>
    <w:rsid w:val="00680FFE"/>
    <w:rsid w:val="00681EE1"/>
    <w:rsid w:val="00686965"/>
    <w:rsid w:val="00693AA9"/>
    <w:rsid w:val="00693DA2"/>
    <w:rsid w:val="00697175"/>
    <w:rsid w:val="006A26FF"/>
    <w:rsid w:val="006B7E10"/>
    <w:rsid w:val="006C3F74"/>
    <w:rsid w:val="006C5A4D"/>
    <w:rsid w:val="006C7F6D"/>
    <w:rsid w:val="006E1EA1"/>
    <w:rsid w:val="006E5EE8"/>
    <w:rsid w:val="006E6C4A"/>
    <w:rsid w:val="006E7032"/>
    <w:rsid w:val="006F0CA2"/>
    <w:rsid w:val="007055C0"/>
    <w:rsid w:val="00706949"/>
    <w:rsid w:val="0070722D"/>
    <w:rsid w:val="0070754C"/>
    <w:rsid w:val="0071208A"/>
    <w:rsid w:val="00712F61"/>
    <w:rsid w:val="00713DE9"/>
    <w:rsid w:val="00716890"/>
    <w:rsid w:val="00730ED4"/>
    <w:rsid w:val="0073223F"/>
    <w:rsid w:val="00732835"/>
    <w:rsid w:val="00733319"/>
    <w:rsid w:val="00733621"/>
    <w:rsid w:val="00733FA5"/>
    <w:rsid w:val="007415FF"/>
    <w:rsid w:val="00746E33"/>
    <w:rsid w:val="0075434E"/>
    <w:rsid w:val="0075475E"/>
    <w:rsid w:val="00755F14"/>
    <w:rsid w:val="00760BB8"/>
    <w:rsid w:val="00764A62"/>
    <w:rsid w:val="007936C3"/>
    <w:rsid w:val="007962A7"/>
    <w:rsid w:val="007A59D1"/>
    <w:rsid w:val="007A6DA8"/>
    <w:rsid w:val="007B1930"/>
    <w:rsid w:val="007B5460"/>
    <w:rsid w:val="007C16DF"/>
    <w:rsid w:val="007C266D"/>
    <w:rsid w:val="007C3A12"/>
    <w:rsid w:val="007C65B7"/>
    <w:rsid w:val="007D4392"/>
    <w:rsid w:val="007D50AA"/>
    <w:rsid w:val="007E34B9"/>
    <w:rsid w:val="00800DEB"/>
    <w:rsid w:val="008251F0"/>
    <w:rsid w:val="00830486"/>
    <w:rsid w:val="00832FA9"/>
    <w:rsid w:val="00833385"/>
    <w:rsid w:val="008367CF"/>
    <w:rsid w:val="00843EAA"/>
    <w:rsid w:val="00846756"/>
    <w:rsid w:val="00853893"/>
    <w:rsid w:val="00854F12"/>
    <w:rsid w:val="00855D58"/>
    <w:rsid w:val="0085693A"/>
    <w:rsid w:val="008602F3"/>
    <w:rsid w:val="008604DD"/>
    <w:rsid w:val="00862599"/>
    <w:rsid w:val="008664F6"/>
    <w:rsid w:val="00881BCB"/>
    <w:rsid w:val="008911C3"/>
    <w:rsid w:val="00891977"/>
    <w:rsid w:val="00892E9D"/>
    <w:rsid w:val="008941ED"/>
    <w:rsid w:val="008B11C1"/>
    <w:rsid w:val="008B40FF"/>
    <w:rsid w:val="008B4CA7"/>
    <w:rsid w:val="008C1359"/>
    <w:rsid w:val="008C34A6"/>
    <w:rsid w:val="008C37E0"/>
    <w:rsid w:val="008C7AC4"/>
    <w:rsid w:val="008C7D61"/>
    <w:rsid w:val="008D66C5"/>
    <w:rsid w:val="008E05C2"/>
    <w:rsid w:val="008E564C"/>
    <w:rsid w:val="008E6EF8"/>
    <w:rsid w:val="008F3A51"/>
    <w:rsid w:val="009020DB"/>
    <w:rsid w:val="00902744"/>
    <w:rsid w:val="00907B30"/>
    <w:rsid w:val="009110B1"/>
    <w:rsid w:val="0091176B"/>
    <w:rsid w:val="00914C7B"/>
    <w:rsid w:val="00922155"/>
    <w:rsid w:val="00926EF2"/>
    <w:rsid w:val="009351CB"/>
    <w:rsid w:val="00936F1B"/>
    <w:rsid w:val="00940B5C"/>
    <w:rsid w:val="009425C0"/>
    <w:rsid w:val="00944995"/>
    <w:rsid w:val="00944B1E"/>
    <w:rsid w:val="00944EFB"/>
    <w:rsid w:val="00951180"/>
    <w:rsid w:val="00953F41"/>
    <w:rsid w:val="00954821"/>
    <w:rsid w:val="00960249"/>
    <w:rsid w:val="00967C66"/>
    <w:rsid w:val="0097007F"/>
    <w:rsid w:val="00974731"/>
    <w:rsid w:val="00974A1D"/>
    <w:rsid w:val="00982694"/>
    <w:rsid w:val="009971DE"/>
    <w:rsid w:val="009A52C5"/>
    <w:rsid w:val="009A7406"/>
    <w:rsid w:val="009A7B81"/>
    <w:rsid w:val="009B1B46"/>
    <w:rsid w:val="009B3B38"/>
    <w:rsid w:val="009B4D30"/>
    <w:rsid w:val="009B79A7"/>
    <w:rsid w:val="009C130F"/>
    <w:rsid w:val="009C3EA1"/>
    <w:rsid w:val="009D2240"/>
    <w:rsid w:val="009D2DBD"/>
    <w:rsid w:val="009D2EF9"/>
    <w:rsid w:val="009D5ED2"/>
    <w:rsid w:val="009E120F"/>
    <w:rsid w:val="009F5BE8"/>
    <w:rsid w:val="00A016D0"/>
    <w:rsid w:val="00A03485"/>
    <w:rsid w:val="00A03670"/>
    <w:rsid w:val="00A07F1A"/>
    <w:rsid w:val="00A10EC3"/>
    <w:rsid w:val="00A16892"/>
    <w:rsid w:val="00A17464"/>
    <w:rsid w:val="00A216A3"/>
    <w:rsid w:val="00A3117A"/>
    <w:rsid w:val="00A323EE"/>
    <w:rsid w:val="00A33B6E"/>
    <w:rsid w:val="00A543AB"/>
    <w:rsid w:val="00A57302"/>
    <w:rsid w:val="00A640B3"/>
    <w:rsid w:val="00A65FF8"/>
    <w:rsid w:val="00A74AEA"/>
    <w:rsid w:val="00A834AA"/>
    <w:rsid w:val="00A94A76"/>
    <w:rsid w:val="00AB04FF"/>
    <w:rsid w:val="00AB0864"/>
    <w:rsid w:val="00AB3E6F"/>
    <w:rsid w:val="00AB4096"/>
    <w:rsid w:val="00AC7292"/>
    <w:rsid w:val="00AC736E"/>
    <w:rsid w:val="00AD1870"/>
    <w:rsid w:val="00AD2043"/>
    <w:rsid w:val="00AD627D"/>
    <w:rsid w:val="00AE2DFB"/>
    <w:rsid w:val="00AE6519"/>
    <w:rsid w:val="00AF17D6"/>
    <w:rsid w:val="00AF7B92"/>
    <w:rsid w:val="00B06D01"/>
    <w:rsid w:val="00B0750B"/>
    <w:rsid w:val="00B11EC5"/>
    <w:rsid w:val="00B16C63"/>
    <w:rsid w:val="00B259C9"/>
    <w:rsid w:val="00B3229E"/>
    <w:rsid w:val="00B37857"/>
    <w:rsid w:val="00B44044"/>
    <w:rsid w:val="00B45B9A"/>
    <w:rsid w:val="00B50679"/>
    <w:rsid w:val="00B60D9F"/>
    <w:rsid w:val="00B64791"/>
    <w:rsid w:val="00B64E39"/>
    <w:rsid w:val="00B728C7"/>
    <w:rsid w:val="00B82943"/>
    <w:rsid w:val="00B8453F"/>
    <w:rsid w:val="00B84BB8"/>
    <w:rsid w:val="00B8621F"/>
    <w:rsid w:val="00B870C2"/>
    <w:rsid w:val="00B87ACD"/>
    <w:rsid w:val="00B927CB"/>
    <w:rsid w:val="00B9765D"/>
    <w:rsid w:val="00B97A77"/>
    <w:rsid w:val="00BA1CF8"/>
    <w:rsid w:val="00BA489E"/>
    <w:rsid w:val="00BB4927"/>
    <w:rsid w:val="00BB7CF6"/>
    <w:rsid w:val="00BC1D46"/>
    <w:rsid w:val="00BC3E9F"/>
    <w:rsid w:val="00BC43A3"/>
    <w:rsid w:val="00BC64C5"/>
    <w:rsid w:val="00BC6D34"/>
    <w:rsid w:val="00BD56E5"/>
    <w:rsid w:val="00BD7C5D"/>
    <w:rsid w:val="00BE4CB9"/>
    <w:rsid w:val="00BF39F5"/>
    <w:rsid w:val="00C0348D"/>
    <w:rsid w:val="00C03669"/>
    <w:rsid w:val="00C06A7E"/>
    <w:rsid w:val="00C15A8E"/>
    <w:rsid w:val="00C170FD"/>
    <w:rsid w:val="00C20362"/>
    <w:rsid w:val="00C31673"/>
    <w:rsid w:val="00C44201"/>
    <w:rsid w:val="00C44FA1"/>
    <w:rsid w:val="00C4658C"/>
    <w:rsid w:val="00C46707"/>
    <w:rsid w:val="00C46C34"/>
    <w:rsid w:val="00C559EE"/>
    <w:rsid w:val="00C6193F"/>
    <w:rsid w:val="00C62107"/>
    <w:rsid w:val="00C64DFF"/>
    <w:rsid w:val="00C81FC7"/>
    <w:rsid w:val="00C849CC"/>
    <w:rsid w:val="00C93BCB"/>
    <w:rsid w:val="00CA036A"/>
    <w:rsid w:val="00CA0DEB"/>
    <w:rsid w:val="00CA1DD5"/>
    <w:rsid w:val="00CA64D9"/>
    <w:rsid w:val="00CA7EA6"/>
    <w:rsid w:val="00CB2F78"/>
    <w:rsid w:val="00CB537A"/>
    <w:rsid w:val="00CB666A"/>
    <w:rsid w:val="00CC237D"/>
    <w:rsid w:val="00CD0E87"/>
    <w:rsid w:val="00CD7FF0"/>
    <w:rsid w:val="00CE144C"/>
    <w:rsid w:val="00CE2D4D"/>
    <w:rsid w:val="00CE76D4"/>
    <w:rsid w:val="00CE7D99"/>
    <w:rsid w:val="00CF33DE"/>
    <w:rsid w:val="00CF5859"/>
    <w:rsid w:val="00CF5F41"/>
    <w:rsid w:val="00CF6C8A"/>
    <w:rsid w:val="00D0053D"/>
    <w:rsid w:val="00D02C40"/>
    <w:rsid w:val="00D03E2E"/>
    <w:rsid w:val="00D04EAD"/>
    <w:rsid w:val="00D10E5C"/>
    <w:rsid w:val="00D159F0"/>
    <w:rsid w:val="00D15D3B"/>
    <w:rsid w:val="00D234DB"/>
    <w:rsid w:val="00D23D3B"/>
    <w:rsid w:val="00D3074B"/>
    <w:rsid w:val="00D32480"/>
    <w:rsid w:val="00D35BA3"/>
    <w:rsid w:val="00D360C3"/>
    <w:rsid w:val="00D374BF"/>
    <w:rsid w:val="00D37D5A"/>
    <w:rsid w:val="00D54844"/>
    <w:rsid w:val="00D55E3A"/>
    <w:rsid w:val="00D56E14"/>
    <w:rsid w:val="00D60FA5"/>
    <w:rsid w:val="00D61A49"/>
    <w:rsid w:val="00D64D6C"/>
    <w:rsid w:val="00D656BE"/>
    <w:rsid w:val="00D659C4"/>
    <w:rsid w:val="00D73A7E"/>
    <w:rsid w:val="00D8033B"/>
    <w:rsid w:val="00D81442"/>
    <w:rsid w:val="00D82793"/>
    <w:rsid w:val="00D96C92"/>
    <w:rsid w:val="00D96EAC"/>
    <w:rsid w:val="00D97871"/>
    <w:rsid w:val="00DB46BF"/>
    <w:rsid w:val="00DB6289"/>
    <w:rsid w:val="00DB7123"/>
    <w:rsid w:val="00DC057C"/>
    <w:rsid w:val="00DC65D3"/>
    <w:rsid w:val="00DC6A2C"/>
    <w:rsid w:val="00DD18FB"/>
    <w:rsid w:val="00DE0D87"/>
    <w:rsid w:val="00DE6D2D"/>
    <w:rsid w:val="00DF6BEF"/>
    <w:rsid w:val="00E125EA"/>
    <w:rsid w:val="00E149CE"/>
    <w:rsid w:val="00E2563C"/>
    <w:rsid w:val="00E25746"/>
    <w:rsid w:val="00E36E32"/>
    <w:rsid w:val="00E41305"/>
    <w:rsid w:val="00E54B6D"/>
    <w:rsid w:val="00E55103"/>
    <w:rsid w:val="00E55803"/>
    <w:rsid w:val="00E620DD"/>
    <w:rsid w:val="00E666AE"/>
    <w:rsid w:val="00E66932"/>
    <w:rsid w:val="00E7077B"/>
    <w:rsid w:val="00E70FB0"/>
    <w:rsid w:val="00E717F4"/>
    <w:rsid w:val="00E81908"/>
    <w:rsid w:val="00E828E5"/>
    <w:rsid w:val="00E8572F"/>
    <w:rsid w:val="00E86239"/>
    <w:rsid w:val="00E90E0D"/>
    <w:rsid w:val="00EA3BDC"/>
    <w:rsid w:val="00EB027D"/>
    <w:rsid w:val="00EB2C1E"/>
    <w:rsid w:val="00ED487F"/>
    <w:rsid w:val="00EE0433"/>
    <w:rsid w:val="00EE58DC"/>
    <w:rsid w:val="00EF17E9"/>
    <w:rsid w:val="00EF76C3"/>
    <w:rsid w:val="00F116B4"/>
    <w:rsid w:val="00F11A80"/>
    <w:rsid w:val="00F13471"/>
    <w:rsid w:val="00F17917"/>
    <w:rsid w:val="00F212D7"/>
    <w:rsid w:val="00F240E1"/>
    <w:rsid w:val="00F2471C"/>
    <w:rsid w:val="00F26716"/>
    <w:rsid w:val="00F26AEC"/>
    <w:rsid w:val="00F27449"/>
    <w:rsid w:val="00F300F8"/>
    <w:rsid w:val="00F355FE"/>
    <w:rsid w:val="00F364AD"/>
    <w:rsid w:val="00F43CA7"/>
    <w:rsid w:val="00F46298"/>
    <w:rsid w:val="00F51A47"/>
    <w:rsid w:val="00F579DE"/>
    <w:rsid w:val="00F57ECA"/>
    <w:rsid w:val="00F623A5"/>
    <w:rsid w:val="00F63060"/>
    <w:rsid w:val="00F643D4"/>
    <w:rsid w:val="00F70C15"/>
    <w:rsid w:val="00F713AF"/>
    <w:rsid w:val="00F808A2"/>
    <w:rsid w:val="00F81A6C"/>
    <w:rsid w:val="00F82E68"/>
    <w:rsid w:val="00F878B8"/>
    <w:rsid w:val="00F87A37"/>
    <w:rsid w:val="00FA000F"/>
    <w:rsid w:val="00FA2881"/>
    <w:rsid w:val="00FA4B8C"/>
    <w:rsid w:val="00FB4E19"/>
    <w:rsid w:val="00FB7683"/>
    <w:rsid w:val="00FB7ABA"/>
    <w:rsid w:val="00FD1F07"/>
    <w:rsid w:val="00FD6919"/>
    <w:rsid w:val="00FE5163"/>
    <w:rsid w:val="00FF06DE"/>
    <w:rsid w:val="00FF336E"/>
    <w:rsid w:val="00FF6F7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487F"/>
    <w:rPr>
      <w:sz w:val="22"/>
      <w:szCs w:val="22"/>
    </w:rPr>
  </w:style>
  <w:style w:type="paragraph" w:styleId="Heading1">
    <w:name w:val="heading 1"/>
    <w:basedOn w:val="Normal"/>
    <w:next w:val="Normal"/>
    <w:link w:val="Heading1Char"/>
    <w:uiPriority w:val="9"/>
    <w:qFormat/>
    <w:rsid w:val="00AF7B92"/>
    <w:pPr>
      <w:numPr>
        <w:numId w:val="63"/>
      </w:numPr>
      <w:pBdr>
        <w:bottom w:val="single" w:sz="18" w:space="1" w:color="E36C0A"/>
      </w:pBdr>
      <w:spacing w:before="480" w:after="480" w:line="276" w:lineRule="auto"/>
      <w:ind w:left="2160" w:hanging="1080"/>
      <w:outlineLvl w:val="0"/>
    </w:pPr>
    <w:rPr>
      <w:b/>
      <w:smallCaps/>
      <w:color w:val="E36C0A"/>
      <w:sz w:val="56"/>
      <w:szCs w:val="56"/>
    </w:rPr>
  </w:style>
  <w:style w:type="paragraph" w:styleId="Heading2">
    <w:name w:val="heading 2"/>
    <w:basedOn w:val="Normal"/>
    <w:next w:val="Normal"/>
    <w:link w:val="Heading2Char"/>
    <w:uiPriority w:val="9"/>
    <w:unhideWhenUsed/>
    <w:qFormat/>
    <w:rsid w:val="00F63060"/>
    <w:pPr>
      <w:numPr>
        <w:numId w:val="64"/>
      </w:numPr>
      <w:pBdr>
        <w:top w:val="single" w:sz="4" w:space="1" w:color="0070C0" w:shadow="1"/>
        <w:left w:val="single" w:sz="4" w:space="0" w:color="0070C0" w:shadow="1"/>
        <w:bottom w:val="single" w:sz="4" w:space="1" w:color="0070C0" w:shadow="1"/>
        <w:right w:val="single" w:sz="4" w:space="4" w:color="0070C0" w:shadow="1"/>
      </w:pBdr>
      <w:shd w:val="pct5" w:color="auto" w:fill="auto"/>
      <w:autoSpaceDE w:val="0"/>
      <w:autoSpaceDN w:val="0"/>
      <w:adjustRightInd w:val="0"/>
      <w:spacing w:before="480" w:after="240"/>
      <w:ind w:right="432"/>
      <w:outlineLvl w:val="1"/>
    </w:pPr>
    <w:rPr>
      <w:b/>
      <w:smallCaps/>
      <w:color w:val="4F81BD"/>
      <w:sz w:val="36"/>
      <w:szCs w:val="36"/>
    </w:rPr>
  </w:style>
  <w:style w:type="paragraph" w:styleId="Heading3">
    <w:name w:val="heading 3"/>
    <w:basedOn w:val="ListParagraph"/>
    <w:next w:val="Normal"/>
    <w:link w:val="Heading3Char"/>
    <w:uiPriority w:val="9"/>
    <w:unhideWhenUsed/>
    <w:qFormat/>
    <w:rsid w:val="00AF7B92"/>
    <w:pPr>
      <w:autoSpaceDE w:val="0"/>
      <w:autoSpaceDN w:val="0"/>
      <w:adjustRightInd w:val="0"/>
      <w:ind w:left="1080" w:right="1170"/>
      <w:jc w:val="both"/>
      <w:outlineLvl w:val="2"/>
    </w:pPr>
    <w:rPr>
      <w:rFonts w:eastAsia="Times New Roman" w:cstheme="majorBidi"/>
      <w:b/>
      <w:bCs/>
      <w:i/>
      <w:iCs/>
      <w:color w:val="4F81BD" w:themeColor="accent1"/>
      <w:sz w:val="28"/>
    </w:rPr>
  </w:style>
  <w:style w:type="paragraph" w:styleId="Heading4">
    <w:name w:val="heading 4"/>
    <w:basedOn w:val="Normal"/>
    <w:next w:val="Normal"/>
    <w:link w:val="Heading4Char"/>
    <w:uiPriority w:val="9"/>
    <w:semiHidden/>
    <w:unhideWhenUsed/>
    <w:qFormat/>
    <w:rsid w:val="00F63060"/>
    <w:pPr>
      <w:keepNext/>
      <w:keepLines/>
      <w:numPr>
        <w:ilvl w:val="3"/>
        <w:numId w:val="63"/>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63060"/>
    <w:pPr>
      <w:keepNext/>
      <w:keepLines/>
      <w:numPr>
        <w:ilvl w:val="4"/>
        <w:numId w:val="63"/>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63060"/>
    <w:pPr>
      <w:keepNext/>
      <w:keepLines/>
      <w:numPr>
        <w:ilvl w:val="5"/>
        <w:numId w:val="63"/>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63060"/>
    <w:pPr>
      <w:keepNext/>
      <w:keepLines/>
      <w:numPr>
        <w:ilvl w:val="6"/>
        <w:numId w:val="6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63060"/>
    <w:pPr>
      <w:keepNext/>
      <w:keepLines/>
      <w:numPr>
        <w:ilvl w:val="7"/>
        <w:numId w:val="63"/>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63060"/>
    <w:pPr>
      <w:keepNext/>
      <w:keepLines/>
      <w:numPr>
        <w:ilvl w:val="8"/>
        <w:numId w:val="6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3471"/>
    <w:pPr>
      <w:tabs>
        <w:tab w:val="center" w:pos="4680"/>
        <w:tab w:val="right" w:pos="9360"/>
      </w:tabs>
    </w:pPr>
  </w:style>
  <w:style w:type="character" w:customStyle="1" w:styleId="HeaderChar">
    <w:name w:val="Header Char"/>
    <w:basedOn w:val="DefaultParagraphFont"/>
    <w:link w:val="Header"/>
    <w:uiPriority w:val="99"/>
    <w:rsid w:val="00F13471"/>
  </w:style>
  <w:style w:type="paragraph" w:styleId="Footer">
    <w:name w:val="footer"/>
    <w:basedOn w:val="Normal"/>
    <w:link w:val="FooterChar"/>
    <w:uiPriority w:val="99"/>
    <w:unhideWhenUsed/>
    <w:rsid w:val="00F13471"/>
    <w:pPr>
      <w:tabs>
        <w:tab w:val="center" w:pos="4680"/>
        <w:tab w:val="right" w:pos="9360"/>
      </w:tabs>
    </w:pPr>
  </w:style>
  <w:style w:type="character" w:customStyle="1" w:styleId="FooterChar">
    <w:name w:val="Footer Char"/>
    <w:basedOn w:val="DefaultParagraphFont"/>
    <w:link w:val="Footer"/>
    <w:uiPriority w:val="99"/>
    <w:rsid w:val="00F13471"/>
  </w:style>
  <w:style w:type="paragraph" w:styleId="BalloonText">
    <w:name w:val="Balloon Text"/>
    <w:basedOn w:val="Normal"/>
    <w:link w:val="BalloonTextChar"/>
    <w:uiPriority w:val="99"/>
    <w:semiHidden/>
    <w:unhideWhenUsed/>
    <w:rsid w:val="00F13471"/>
    <w:rPr>
      <w:rFonts w:ascii="Tahoma" w:hAnsi="Tahoma" w:cs="Tahoma"/>
      <w:sz w:val="16"/>
      <w:szCs w:val="16"/>
    </w:rPr>
  </w:style>
  <w:style w:type="character" w:customStyle="1" w:styleId="BalloonTextChar">
    <w:name w:val="Balloon Text Char"/>
    <w:basedOn w:val="DefaultParagraphFont"/>
    <w:link w:val="BalloonText"/>
    <w:uiPriority w:val="99"/>
    <w:semiHidden/>
    <w:rsid w:val="00F13471"/>
    <w:rPr>
      <w:rFonts w:ascii="Tahoma" w:hAnsi="Tahoma" w:cs="Tahoma"/>
      <w:sz w:val="16"/>
      <w:szCs w:val="16"/>
    </w:rPr>
  </w:style>
  <w:style w:type="character" w:customStyle="1" w:styleId="Heading1Char">
    <w:name w:val="Heading 1 Char"/>
    <w:basedOn w:val="DefaultParagraphFont"/>
    <w:link w:val="Heading1"/>
    <w:uiPriority w:val="9"/>
    <w:rsid w:val="00AF7B92"/>
    <w:rPr>
      <w:b/>
      <w:smallCaps/>
      <w:color w:val="E36C0A"/>
      <w:sz w:val="56"/>
      <w:szCs w:val="56"/>
    </w:rPr>
  </w:style>
  <w:style w:type="character" w:customStyle="1" w:styleId="Heading2Char">
    <w:name w:val="Heading 2 Char"/>
    <w:basedOn w:val="DefaultParagraphFont"/>
    <w:link w:val="Heading2"/>
    <w:uiPriority w:val="9"/>
    <w:rsid w:val="00F63060"/>
    <w:rPr>
      <w:b/>
      <w:smallCaps/>
      <w:color w:val="4F81BD"/>
      <w:sz w:val="36"/>
      <w:szCs w:val="36"/>
      <w:shd w:val="pct5" w:color="auto" w:fill="auto"/>
    </w:rPr>
  </w:style>
  <w:style w:type="paragraph" w:styleId="ListParagraph">
    <w:name w:val="List Paragraph"/>
    <w:basedOn w:val="Normal"/>
    <w:uiPriority w:val="34"/>
    <w:qFormat/>
    <w:rsid w:val="00E90E0D"/>
    <w:pPr>
      <w:ind w:left="720"/>
      <w:contextualSpacing/>
    </w:pPr>
  </w:style>
  <w:style w:type="paragraph" w:styleId="BodyText">
    <w:name w:val="Body Text"/>
    <w:basedOn w:val="Normal"/>
    <w:link w:val="BodyTextChar"/>
    <w:rsid w:val="00CA7EA6"/>
    <w:pPr>
      <w:tabs>
        <w:tab w:val="left" w:pos="360"/>
        <w:tab w:val="left" w:pos="900"/>
      </w:tabs>
    </w:pPr>
    <w:rPr>
      <w:rFonts w:ascii="Times New Roman" w:eastAsia="Times New Roman" w:hAnsi="Times New Roman"/>
      <w:szCs w:val="24"/>
    </w:rPr>
  </w:style>
  <w:style w:type="character" w:customStyle="1" w:styleId="BodyTextChar">
    <w:name w:val="Body Text Char"/>
    <w:basedOn w:val="DefaultParagraphFont"/>
    <w:link w:val="BodyText"/>
    <w:rsid w:val="00CA7EA6"/>
    <w:rPr>
      <w:rFonts w:ascii="Times New Roman" w:eastAsia="Times New Roman" w:hAnsi="Times New Roman" w:cs="Times New Roman"/>
      <w:szCs w:val="24"/>
    </w:rPr>
  </w:style>
  <w:style w:type="paragraph" w:styleId="Revision">
    <w:name w:val="Revision"/>
    <w:hidden/>
    <w:uiPriority w:val="99"/>
    <w:semiHidden/>
    <w:rsid w:val="00800DEB"/>
    <w:rPr>
      <w:sz w:val="22"/>
      <w:szCs w:val="22"/>
    </w:rPr>
  </w:style>
  <w:style w:type="character" w:styleId="Hyperlink">
    <w:name w:val="Hyperlink"/>
    <w:basedOn w:val="DefaultParagraphFont"/>
    <w:uiPriority w:val="99"/>
    <w:rsid w:val="000005C7"/>
    <w:rPr>
      <w:color w:val="0000FF"/>
      <w:u w:val="single"/>
    </w:rPr>
  </w:style>
  <w:style w:type="paragraph" w:styleId="NormalWeb">
    <w:name w:val="Normal (Web)"/>
    <w:basedOn w:val="Normal"/>
    <w:uiPriority w:val="99"/>
    <w:rsid w:val="00B60D9F"/>
    <w:pPr>
      <w:spacing w:before="100" w:beforeAutospacing="1" w:after="100" w:afterAutospacing="1"/>
    </w:pPr>
    <w:rPr>
      <w:rFonts w:ascii="Times New Roman" w:eastAsia="Times New Roman" w:hAnsi="Times New Roman"/>
      <w:sz w:val="24"/>
      <w:szCs w:val="24"/>
    </w:rPr>
  </w:style>
  <w:style w:type="paragraph" w:styleId="FootnoteText">
    <w:name w:val="footnote text"/>
    <w:basedOn w:val="Normal"/>
    <w:link w:val="FootnoteTextChar"/>
    <w:uiPriority w:val="99"/>
    <w:semiHidden/>
    <w:unhideWhenUsed/>
    <w:rsid w:val="00CF5F41"/>
    <w:rPr>
      <w:sz w:val="20"/>
      <w:szCs w:val="20"/>
    </w:rPr>
  </w:style>
  <w:style w:type="character" w:customStyle="1" w:styleId="FootnoteTextChar">
    <w:name w:val="Footnote Text Char"/>
    <w:basedOn w:val="DefaultParagraphFont"/>
    <w:link w:val="FootnoteText"/>
    <w:uiPriority w:val="99"/>
    <w:semiHidden/>
    <w:rsid w:val="00CF5F41"/>
  </w:style>
  <w:style w:type="character" w:styleId="FootnoteReference">
    <w:name w:val="footnote reference"/>
    <w:basedOn w:val="DefaultParagraphFont"/>
    <w:uiPriority w:val="99"/>
    <w:semiHidden/>
    <w:unhideWhenUsed/>
    <w:rsid w:val="00CF5F41"/>
    <w:rPr>
      <w:vertAlign w:val="superscript"/>
    </w:rPr>
  </w:style>
  <w:style w:type="character" w:styleId="Strong">
    <w:name w:val="Strong"/>
    <w:basedOn w:val="DefaultParagraphFont"/>
    <w:uiPriority w:val="22"/>
    <w:qFormat/>
    <w:rsid w:val="00132404"/>
    <w:rPr>
      <w:b/>
      <w:bCs/>
    </w:rPr>
  </w:style>
  <w:style w:type="character" w:styleId="Emphasis">
    <w:name w:val="Emphasis"/>
    <w:basedOn w:val="DefaultParagraphFont"/>
    <w:uiPriority w:val="20"/>
    <w:qFormat/>
    <w:rsid w:val="00410C6A"/>
    <w:rPr>
      <w:i/>
      <w:iCs/>
    </w:rPr>
  </w:style>
  <w:style w:type="character" w:customStyle="1" w:styleId="Heading3Char">
    <w:name w:val="Heading 3 Char"/>
    <w:basedOn w:val="DefaultParagraphFont"/>
    <w:link w:val="Heading3"/>
    <w:uiPriority w:val="9"/>
    <w:rsid w:val="00AF7B92"/>
    <w:rPr>
      <w:rFonts w:eastAsia="Times New Roman" w:cstheme="majorBidi"/>
      <w:b/>
      <w:bCs/>
      <w:i/>
      <w:iCs/>
      <w:color w:val="4F81BD" w:themeColor="accent1"/>
      <w:sz w:val="28"/>
      <w:szCs w:val="22"/>
    </w:rPr>
  </w:style>
  <w:style w:type="paragraph" w:customStyle="1" w:styleId="fp">
    <w:name w:val="fp"/>
    <w:basedOn w:val="Normal"/>
    <w:rsid w:val="00CA64D9"/>
    <w:pPr>
      <w:spacing w:before="100" w:beforeAutospacing="1" w:after="100" w:afterAutospacing="1"/>
    </w:pPr>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52715E"/>
    <w:rPr>
      <w:sz w:val="16"/>
      <w:szCs w:val="16"/>
    </w:rPr>
  </w:style>
  <w:style w:type="paragraph" w:styleId="CommentText">
    <w:name w:val="annotation text"/>
    <w:basedOn w:val="Normal"/>
    <w:link w:val="CommentTextChar"/>
    <w:uiPriority w:val="99"/>
    <w:semiHidden/>
    <w:unhideWhenUsed/>
    <w:rsid w:val="0052715E"/>
    <w:rPr>
      <w:sz w:val="20"/>
      <w:szCs w:val="20"/>
    </w:rPr>
  </w:style>
  <w:style w:type="character" w:customStyle="1" w:styleId="CommentTextChar">
    <w:name w:val="Comment Text Char"/>
    <w:basedOn w:val="DefaultParagraphFont"/>
    <w:link w:val="CommentText"/>
    <w:uiPriority w:val="99"/>
    <w:semiHidden/>
    <w:rsid w:val="0052715E"/>
  </w:style>
  <w:style w:type="paragraph" w:styleId="CommentSubject">
    <w:name w:val="annotation subject"/>
    <w:basedOn w:val="CommentText"/>
    <w:next w:val="CommentText"/>
    <w:link w:val="CommentSubjectChar"/>
    <w:uiPriority w:val="99"/>
    <w:semiHidden/>
    <w:unhideWhenUsed/>
    <w:rsid w:val="0052715E"/>
    <w:rPr>
      <w:b/>
      <w:bCs/>
    </w:rPr>
  </w:style>
  <w:style w:type="character" w:customStyle="1" w:styleId="CommentSubjectChar">
    <w:name w:val="Comment Subject Char"/>
    <w:basedOn w:val="CommentTextChar"/>
    <w:link w:val="CommentSubject"/>
    <w:uiPriority w:val="99"/>
    <w:semiHidden/>
    <w:rsid w:val="0052715E"/>
    <w:rPr>
      <w:b/>
      <w:bCs/>
    </w:rPr>
  </w:style>
  <w:style w:type="paragraph" w:styleId="Title">
    <w:name w:val="Title"/>
    <w:basedOn w:val="Normal"/>
    <w:next w:val="Normal"/>
    <w:link w:val="TitleChar"/>
    <w:uiPriority w:val="10"/>
    <w:qFormat/>
    <w:rsid w:val="00F63060"/>
    <w:pPr>
      <w:shd w:val="clear" w:color="BFBFBF" w:fill="auto"/>
      <w:spacing w:after="200" w:line="276" w:lineRule="auto"/>
      <w:jc w:val="center"/>
    </w:pPr>
    <w:rPr>
      <w:b/>
      <w:i/>
      <w:smallCaps/>
      <w:color w:val="002060"/>
      <w:sz w:val="72"/>
      <w:szCs w:val="56"/>
    </w:rPr>
  </w:style>
  <w:style w:type="character" w:customStyle="1" w:styleId="TitleChar">
    <w:name w:val="Title Char"/>
    <w:basedOn w:val="DefaultParagraphFont"/>
    <w:link w:val="Title"/>
    <w:uiPriority w:val="10"/>
    <w:rsid w:val="00F63060"/>
    <w:rPr>
      <w:b/>
      <w:i/>
      <w:smallCaps/>
      <w:color w:val="002060"/>
      <w:sz w:val="72"/>
      <w:szCs w:val="56"/>
      <w:shd w:val="clear" w:color="BFBFBF" w:fill="auto"/>
    </w:rPr>
  </w:style>
  <w:style w:type="character" w:customStyle="1" w:styleId="Heading4Char">
    <w:name w:val="Heading 4 Char"/>
    <w:basedOn w:val="DefaultParagraphFont"/>
    <w:link w:val="Heading4"/>
    <w:uiPriority w:val="9"/>
    <w:semiHidden/>
    <w:rsid w:val="00F63060"/>
    <w:rPr>
      <w:rFonts w:asciiTheme="majorHAnsi" w:eastAsiaTheme="majorEastAsia" w:hAnsiTheme="majorHAnsi" w:cstheme="majorBidi"/>
      <w:b/>
      <w:bCs/>
      <w:i/>
      <w:iCs/>
      <w:color w:val="4F81BD" w:themeColor="accent1"/>
      <w:sz w:val="22"/>
      <w:szCs w:val="22"/>
    </w:rPr>
  </w:style>
  <w:style w:type="character" w:customStyle="1" w:styleId="Heading5Char">
    <w:name w:val="Heading 5 Char"/>
    <w:basedOn w:val="DefaultParagraphFont"/>
    <w:link w:val="Heading5"/>
    <w:uiPriority w:val="9"/>
    <w:semiHidden/>
    <w:rsid w:val="00F63060"/>
    <w:rPr>
      <w:rFonts w:asciiTheme="majorHAnsi" w:eastAsiaTheme="majorEastAsia" w:hAnsiTheme="majorHAnsi" w:cstheme="majorBidi"/>
      <w:color w:val="243F60" w:themeColor="accent1" w:themeShade="7F"/>
      <w:sz w:val="22"/>
      <w:szCs w:val="22"/>
    </w:rPr>
  </w:style>
  <w:style w:type="character" w:customStyle="1" w:styleId="Heading6Char">
    <w:name w:val="Heading 6 Char"/>
    <w:basedOn w:val="DefaultParagraphFont"/>
    <w:link w:val="Heading6"/>
    <w:uiPriority w:val="9"/>
    <w:semiHidden/>
    <w:rsid w:val="00F63060"/>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uiPriority w:val="9"/>
    <w:semiHidden/>
    <w:rsid w:val="00F63060"/>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semiHidden/>
    <w:rsid w:val="00F63060"/>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F63060"/>
    <w:rPr>
      <w:rFonts w:asciiTheme="majorHAnsi" w:eastAsiaTheme="majorEastAsia" w:hAnsiTheme="majorHAnsi" w:cstheme="majorBidi"/>
      <w:i/>
      <w:iCs/>
      <w:color w:val="404040" w:themeColor="text1" w:themeTint="BF"/>
    </w:rPr>
  </w:style>
  <w:style w:type="paragraph" w:styleId="NoSpacing">
    <w:name w:val="No Spacing"/>
    <w:uiPriority w:val="1"/>
    <w:qFormat/>
    <w:rsid w:val="00AF7B92"/>
    <w:rPr>
      <w:sz w:val="22"/>
      <w:szCs w:val="22"/>
    </w:rPr>
  </w:style>
  <w:style w:type="paragraph" w:styleId="TOC1">
    <w:name w:val="toc 1"/>
    <w:basedOn w:val="Normal"/>
    <w:next w:val="Normal"/>
    <w:autoRedefine/>
    <w:uiPriority w:val="39"/>
    <w:unhideWhenUsed/>
    <w:rsid w:val="00AF7B92"/>
    <w:pPr>
      <w:spacing w:after="100"/>
    </w:pPr>
  </w:style>
  <w:style w:type="paragraph" w:styleId="TOC2">
    <w:name w:val="toc 2"/>
    <w:basedOn w:val="Normal"/>
    <w:next w:val="Normal"/>
    <w:autoRedefine/>
    <w:uiPriority w:val="39"/>
    <w:unhideWhenUsed/>
    <w:rsid w:val="00AF7B92"/>
    <w:pPr>
      <w:spacing w:after="100"/>
      <w:ind w:left="220"/>
    </w:pPr>
  </w:style>
</w:styles>
</file>

<file path=word/webSettings.xml><?xml version="1.0" encoding="utf-8"?>
<w:webSettings xmlns:r="http://schemas.openxmlformats.org/officeDocument/2006/relationships" xmlns:w="http://schemas.openxmlformats.org/wordprocessingml/2006/main">
  <w:divs>
    <w:div w:id="109713016">
      <w:bodyDiv w:val="1"/>
      <w:marLeft w:val="0"/>
      <w:marRight w:val="0"/>
      <w:marTop w:val="0"/>
      <w:marBottom w:val="0"/>
      <w:divBdr>
        <w:top w:val="none" w:sz="0" w:space="0" w:color="auto"/>
        <w:left w:val="none" w:sz="0" w:space="0" w:color="auto"/>
        <w:bottom w:val="none" w:sz="0" w:space="0" w:color="auto"/>
        <w:right w:val="none" w:sz="0" w:space="0" w:color="auto"/>
      </w:divBdr>
    </w:div>
    <w:div w:id="170029529">
      <w:bodyDiv w:val="1"/>
      <w:marLeft w:val="0"/>
      <w:marRight w:val="0"/>
      <w:marTop w:val="0"/>
      <w:marBottom w:val="0"/>
      <w:divBdr>
        <w:top w:val="none" w:sz="0" w:space="0" w:color="auto"/>
        <w:left w:val="none" w:sz="0" w:space="0" w:color="auto"/>
        <w:bottom w:val="none" w:sz="0" w:space="0" w:color="auto"/>
        <w:right w:val="none" w:sz="0" w:space="0" w:color="auto"/>
      </w:divBdr>
    </w:div>
    <w:div w:id="180439511">
      <w:bodyDiv w:val="1"/>
      <w:marLeft w:val="0"/>
      <w:marRight w:val="0"/>
      <w:marTop w:val="0"/>
      <w:marBottom w:val="0"/>
      <w:divBdr>
        <w:top w:val="none" w:sz="0" w:space="0" w:color="auto"/>
        <w:left w:val="none" w:sz="0" w:space="0" w:color="auto"/>
        <w:bottom w:val="none" w:sz="0" w:space="0" w:color="auto"/>
        <w:right w:val="none" w:sz="0" w:space="0" w:color="auto"/>
      </w:divBdr>
      <w:divsChild>
        <w:div w:id="2131169792">
          <w:marLeft w:val="0"/>
          <w:marRight w:val="0"/>
          <w:marTop w:val="0"/>
          <w:marBottom w:val="0"/>
          <w:divBdr>
            <w:top w:val="none" w:sz="0" w:space="0" w:color="auto"/>
            <w:left w:val="none" w:sz="0" w:space="0" w:color="auto"/>
            <w:bottom w:val="none" w:sz="0" w:space="0" w:color="auto"/>
            <w:right w:val="none" w:sz="0" w:space="0" w:color="auto"/>
          </w:divBdr>
        </w:div>
      </w:divsChild>
    </w:div>
    <w:div w:id="207111961">
      <w:bodyDiv w:val="1"/>
      <w:marLeft w:val="0"/>
      <w:marRight w:val="0"/>
      <w:marTop w:val="0"/>
      <w:marBottom w:val="0"/>
      <w:divBdr>
        <w:top w:val="none" w:sz="0" w:space="0" w:color="auto"/>
        <w:left w:val="none" w:sz="0" w:space="0" w:color="auto"/>
        <w:bottom w:val="none" w:sz="0" w:space="0" w:color="auto"/>
        <w:right w:val="none" w:sz="0" w:space="0" w:color="auto"/>
      </w:divBdr>
    </w:div>
    <w:div w:id="253317683">
      <w:bodyDiv w:val="1"/>
      <w:marLeft w:val="0"/>
      <w:marRight w:val="0"/>
      <w:marTop w:val="0"/>
      <w:marBottom w:val="0"/>
      <w:divBdr>
        <w:top w:val="none" w:sz="0" w:space="0" w:color="auto"/>
        <w:left w:val="none" w:sz="0" w:space="0" w:color="auto"/>
        <w:bottom w:val="none" w:sz="0" w:space="0" w:color="auto"/>
        <w:right w:val="none" w:sz="0" w:space="0" w:color="auto"/>
      </w:divBdr>
    </w:div>
    <w:div w:id="284116092">
      <w:bodyDiv w:val="1"/>
      <w:marLeft w:val="0"/>
      <w:marRight w:val="0"/>
      <w:marTop w:val="0"/>
      <w:marBottom w:val="0"/>
      <w:divBdr>
        <w:top w:val="none" w:sz="0" w:space="0" w:color="auto"/>
        <w:left w:val="none" w:sz="0" w:space="0" w:color="auto"/>
        <w:bottom w:val="none" w:sz="0" w:space="0" w:color="auto"/>
        <w:right w:val="none" w:sz="0" w:space="0" w:color="auto"/>
      </w:divBdr>
    </w:div>
    <w:div w:id="776751193">
      <w:bodyDiv w:val="1"/>
      <w:marLeft w:val="0"/>
      <w:marRight w:val="0"/>
      <w:marTop w:val="0"/>
      <w:marBottom w:val="0"/>
      <w:divBdr>
        <w:top w:val="none" w:sz="0" w:space="0" w:color="auto"/>
        <w:left w:val="none" w:sz="0" w:space="0" w:color="auto"/>
        <w:bottom w:val="none" w:sz="0" w:space="0" w:color="auto"/>
        <w:right w:val="none" w:sz="0" w:space="0" w:color="auto"/>
      </w:divBdr>
    </w:div>
    <w:div w:id="1026255445">
      <w:bodyDiv w:val="1"/>
      <w:marLeft w:val="0"/>
      <w:marRight w:val="0"/>
      <w:marTop w:val="0"/>
      <w:marBottom w:val="0"/>
      <w:divBdr>
        <w:top w:val="none" w:sz="0" w:space="0" w:color="auto"/>
        <w:left w:val="none" w:sz="0" w:space="0" w:color="auto"/>
        <w:bottom w:val="none" w:sz="0" w:space="0" w:color="auto"/>
        <w:right w:val="none" w:sz="0" w:space="0" w:color="auto"/>
      </w:divBdr>
    </w:div>
    <w:div w:id="1149443153">
      <w:bodyDiv w:val="1"/>
      <w:marLeft w:val="0"/>
      <w:marRight w:val="0"/>
      <w:marTop w:val="0"/>
      <w:marBottom w:val="0"/>
      <w:divBdr>
        <w:top w:val="none" w:sz="0" w:space="0" w:color="auto"/>
        <w:left w:val="none" w:sz="0" w:space="0" w:color="auto"/>
        <w:bottom w:val="none" w:sz="0" w:space="0" w:color="auto"/>
        <w:right w:val="none" w:sz="0" w:space="0" w:color="auto"/>
      </w:divBdr>
    </w:div>
    <w:div w:id="1280182321">
      <w:bodyDiv w:val="1"/>
      <w:marLeft w:val="0"/>
      <w:marRight w:val="0"/>
      <w:marTop w:val="0"/>
      <w:marBottom w:val="0"/>
      <w:divBdr>
        <w:top w:val="none" w:sz="0" w:space="0" w:color="auto"/>
        <w:left w:val="none" w:sz="0" w:space="0" w:color="auto"/>
        <w:bottom w:val="none" w:sz="0" w:space="0" w:color="auto"/>
        <w:right w:val="none" w:sz="0" w:space="0" w:color="auto"/>
      </w:divBdr>
      <w:divsChild>
        <w:div w:id="1648322105">
          <w:marLeft w:val="300"/>
          <w:marRight w:val="0"/>
          <w:marTop w:val="0"/>
          <w:marBottom w:val="0"/>
          <w:divBdr>
            <w:top w:val="none" w:sz="0" w:space="0" w:color="auto"/>
            <w:left w:val="none" w:sz="0" w:space="0" w:color="auto"/>
            <w:bottom w:val="none" w:sz="0" w:space="0" w:color="auto"/>
            <w:right w:val="none" w:sz="0" w:space="0" w:color="auto"/>
          </w:divBdr>
        </w:div>
        <w:div w:id="947740953">
          <w:marLeft w:val="450"/>
          <w:marRight w:val="0"/>
          <w:marTop w:val="0"/>
          <w:marBottom w:val="0"/>
          <w:divBdr>
            <w:top w:val="none" w:sz="0" w:space="0" w:color="auto"/>
            <w:left w:val="none" w:sz="0" w:space="0" w:color="auto"/>
            <w:bottom w:val="none" w:sz="0" w:space="0" w:color="auto"/>
            <w:right w:val="none" w:sz="0" w:space="0" w:color="auto"/>
          </w:divBdr>
        </w:div>
        <w:div w:id="326523438">
          <w:marLeft w:val="450"/>
          <w:marRight w:val="0"/>
          <w:marTop w:val="0"/>
          <w:marBottom w:val="0"/>
          <w:divBdr>
            <w:top w:val="none" w:sz="0" w:space="0" w:color="auto"/>
            <w:left w:val="none" w:sz="0" w:space="0" w:color="auto"/>
            <w:bottom w:val="none" w:sz="0" w:space="0" w:color="auto"/>
            <w:right w:val="none" w:sz="0" w:space="0" w:color="auto"/>
          </w:divBdr>
        </w:div>
      </w:divsChild>
    </w:div>
    <w:div w:id="1423376855">
      <w:bodyDiv w:val="1"/>
      <w:marLeft w:val="0"/>
      <w:marRight w:val="0"/>
      <w:marTop w:val="0"/>
      <w:marBottom w:val="0"/>
      <w:divBdr>
        <w:top w:val="none" w:sz="0" w:space="0" w:color="auto"/>
        <w:left w:val="none" w:sz="0" w:space="0" w:color="auto"/>
        <w:bottom w:val="none" w:sz="0" w:space="0" w:color="auto"/>
        <w:right w:val="none" w:sz="0" w:space="0" w:color="auto"/>
      </w:divBdr>
    </w:div>
    <w:div w:id="1547330982">
      <w:bodyDiv w:val="1"/>
      <w:marLeft w:val="0"/>
      <w:marRight w:val="0"/>
      <w:marTop w:val="0"/>
      <w:marBottom w:val="0"/>
      <w:divBdr>
        <w:top w:val="none" w:sz="0" w:space="0" w:color="auto"/>
        <w:left w:val="none" w:sz="0" w:space="0" w:color="auto"/>
        <w:bottom w:val="none" w:sz="0" w:space="0" w:color="auto"/>
        <w:right w:val="none" w:sz="0" w:space="0" w:color="auto"/>
      </w:divBdr>
    </w:div>
    <w:div w:id="1549796820">
      <w:bodyDiv w:val="1"/>
      <w:marLeft w:val="0"/>
      <w:marRight w:val="0"/>
      <w:marTop w:val="0"/>
      <w:marBottom w:val="0"/>
      <w:divBdr>
        <w:top w:val="none" w:sz="0" w:space="0" w:color="auto"/>
        <w:left w:val="none" w:sz="0" w:space="0" w:color="auto"/>
        <w:bottom w:val="none" w:sz="0" w:space="0" w:color="auto"/>
        <w:right w:val="none" w:sz="0" w:space="0" w:color="auto"/>
      </w:divBdr>
      <w:divsChild>
        <w:div w:id="1218858504">
          <w:marLeft w:val="0"/>
          <w:marRight w:val="0"/>
          <w:marTop w:val="0"/>
          <w:marBottom w:val="0"/>
          <w:divBdr>
            <w:top w:val="none" w:sz="0" w:space="0" w:color="auto"/>
            <w:left w:val="none" w:sz="0" w:space="0" w:color="auto"/>
            <w:bottom w:val="none" w:sz="0" w:space="0" w:color="auto"/>
            <w:right w:val="none" w:sz="0" w:space="0" w:color="auto"/>
          </w:divBdr>
        </w:div>
        <w:div w:id="811366447">
          <w:marLeft w:val="450"/>
          <w:marRight w:val="0"/>
          <w:marTop w:val="0"/>
          <w:marBottom w:val="0"/>
          <w:divBdr>
            <w:top w:val="none" w:sz="0" w:space="0" w:color="auto"/>
            <w:left w:val="none" w:sz="0" w:space="0" w:color="auto"/>
            <w:bottom w:val="none" w:sz="0" w:space="0" w:color="auto"/>
            <w:right w:val="none" w:sz="0" w:space="0" w:color="auto"/>
          </w:divBdr>
        </w:div>
        <w:div w:id="1345397875">
          <w:marLeft w:val="450"/>
          <w:marRight w:val="0"/>
          <w:marTop w:val="0"/>
          <w:marBottom w:val="0"/>
          <w:divBdr>
            <w:top w:val="none" w:sz="0" w:space="0" w:color="auto"/>
            <w:left w:val="none" w:sz="0" w:space="0" w:color="auto"/>
            <w:bottom w:val="none" w:sz="0" w:space="0" w:color="auto"/>
            <w:right w:val="none" w:sz="0" w:space="0" w:color="auto"/>
          </w:divBdr>
        </w:div>
      </w:divsChild>
    </w:div>
    <w:div w:id="1605456914">
      <w:bodyDiv w:val="1"/>
      <w:marLeft w:val="0"/>
      <w:marRight w:val="0"/>
      <w:marTop w:val="0"/>
      <w:marBottom w:val="0"/>
      <w:divBdr>
        <w:top w:val="none" w:sz="0" w:space="0" w:color="auto"/>
        <w:left w:val="none" w:sz="0" w:space="0" w:color="auto"/>
        <w:bottom w:val="none" w:sz="0" w:space="0" w:color="auto"/>
        <w:right w:val="none" w:sz="0" w:space="0" w:color="auto"/>
      </w:divBdr>
    </w:div>
    <w:div w:id="1659380477">
      <w:bodyDiv w:val="1"/>
      <w:marLeft w:val="0"/>
      <w:marRight w:val="0"/>
      <w:marTop w:val="0"/>
      <w:marBottom w:val="0"/>
      <w:divBdr>
        <w:top w:val="none" w:sz="0" w:space="0" w:color="auto"/>
        <w:left w:val="none" w:sz="0" w:space="0" w:color="auto"/>
        <w:bottom w:val="none" w:sz="0" w:space="0" w:color="auto"/>
        <w:right w:val="none" w:sz="0" w:space="0" w:color="auto"/>
      </w:divBdr>
    </w:div>
    <w:div w:id="1683317962">
      <w:bodyDiv w:val="1"/>
      <w:marLeft w:val="0"/>
      <w:marRight w:val="0"/>
      <w:marTop w:val="0"/>
      <w:marBottom w:val="0"/>
      <w:divBdr>
        <w:top w:val="none" w:sz="0" w:space="0" w:color="auto"/>
        <w:left w:val="none" w:sz="0" w:space="0" w:color="auto"/>
        <w:bottom w:val="none" w:sz="0" w:space="0" w:color="auto"/>
        <w:right w:val="none" w:sz="0" w:space="0" w:color="auto"/>
      </w:divBdr>
    </w:div>
    <w:div w:id="1826362792">
      <w:bodyDiv w:val="1"/>
      <w:marLeft w:val="0"/>
      <w:marRight w:val="0"/>
      <w:marTop w:val="0"/>
      <w:marBottom w:val="0"/>
      <w:divBdr>
        <w:top w:val="none" w:sz="0" w:space="0" w:color="auto"/>
        <w:left w:val="none" w:sz="0" w:space="0" w:color="auto"/>
        <w:bottom w:val="none" w:sz="0" w:space="0" w:color="auto"/>
        <w:right w:val="none" w:sz="0" w:space="0" w:color="auto"/>
      </w:divBdr>
      <w:divsChild>
        <w:div w:id="783184460">
          <w:marLeft w:val="547"/>
          <w:marRight w:val="0"/>
          <w:marTop w:val="0"/>
          <w:marBottom w:val="0"/>
          <w:divBdr>
            <w:top w:val="none" w:sz="0" w:space="0" w:color="auto"/>
            <w:left w:val="none" w:sz="0" w:space="0" w:color="auto"/>
            <w:bottom w:val="none" w:sz="0" w:space="0" w:color="auto"/>
            <w:right w:val="none" w:sz="0" w:space="0" w:color="auto"/>
          </w:divBdr>
        </w:div>
      </w:divsChild>
    </w:div>
    <w:div w:id="1837454832">
      <w:bodyDiv w:val="1"/>
      <w:marLeft w:val="0"/>
      <w:marRight w:val="0"/>
      <w:marTop w:val="0"/>
      <w:marBottom w:val="0"/>
      <w:divBdr>
        <w:top w:val="none" w:sz="0" w:space="0" w:color="auto"/>
        <w:left w:val="none" w:sz="0" w:space="0" w:color="auto"/>
        <w:bottom w:val="none" w:sz="0" w:space="0" w:color="auto"/>
        <w:right w:val="none" w:sz="0" w:space="0" w:color="auto"/>
      </w:divBdr>
    </w:div>
    <w:div w:id="1856534191">
      <w:bodyDiv w:val="1"/>
      <w:marLeft w:val="0"/>
      <w:marRight w:val="0"/>
      <w:marTop w:val="72"/>
      <w:marBottom w:val="0"/>
      <w:divBdr>
        <w:top w:val="none" w:sz="0" w:space="0" w:color="auto"/>
        <w:left w:val="none" w:sz="0" w:space="0" w:color="auto"/>
        <w:bottom w:val="none" w:sz="0" w:space="0" w:color="auto"/>
        <w:right w:val="none" w:sz="0" w:space="0" w:color="auto"/>
      </w:divBdr>
      <w:divsChild>
        <w:div w:id="1994941119">
          <w:marLeft w:val="0"/>
          <w:marRight w:val="0"/>
          <w:marTop w:val="0"/>
          <w:marBottom w:val="0"/>
          <w:divBdr>
            <w:top w:val="none" w:sz="0" w:space="0" w:color="auto"/>
            <w:left w:val="none" w:sz="0" w:space="0" w:color="auto"/>
            <w:bottom w:val="none" w:sz="0" w:space="0" w:color="auto"/>
            <w:right w:val="none" w:sz="0" w:space="0" w:color="auto"/>
          </w:divBdr>
          <w:divsChild>
            <w:div w:id="1031220283">
              <w:marLeft w:val="4077"/>
              <w:marRight w:val="0"/>
              <w:marTop w:val="0"/>
              <w:marBottom w:val="0"/>
              <w:divBdr>
                <w:top w:val="none" w:sz="0" w:space="0" w:color="auto"/>
                <w:left w:val="none" w:sz="0" w:space="0" w:color="auto"/>
                <w:bottom w:val="none" w:sz="0" w:space="0" w:color="auto"/>
                <w:right w:val="none" w:sz="0" w:space="0" w:color="auto"/>
              </w:divBdr>
              <w:divsChild>
                <w:div w:id="93520034">
                  <w:marLeft w:val="12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990741476">
      <w:bodyDiv w:val="1"/>
      <w:marLeft w:val="0"/>
      <w:marRight w:val="0"/>
      <w:marTop w:val="0"/>
      <w:marBottom w:val="0"/>
      <w:divBdr>
        <w:top w:val="none" w:sz="0" w:space="0" w:color="auto"/>
        <w:left w:val="none" w:sz="0" w:space="0" w:color="auto"/>
        <w:bottom w:val="none" w:sz="0" w:space="0" w:color="auto"/>
        <w:right w:val="none" w:sz="0" w:space="0" w:color="auto"/>
      </w:divBdr>
      <w:divsChild>
        <w:div w:id="1913615161">
          <w:marLeft w:val="0"/>
          <w:marRight w:val="0"/>
          <w:marTop w:val="0"/>
          <w:marBottom w:val="0"/>
          <w:divBdr>
            <w:top w:val="none" w:sz="0" w:space="0" w:color="auto"/>
            <w:left w:val="none" w:sz="0" w:space="0" w:color="auto"/>
            <w:bottom w:val="none" w:sz="0" w:space="0" w:color="auto"/>
            <w:right w:val="none" w:sz="0" w:space="0" w:color="auto"/>
          </w:divBdr>
        </w:div>
      </w:divsChild>
    </w:div>
    <w:div w:id="2006081865">
      <w:bodyDiv w:val="1"/>
      <w:marLeft w:val="0"/>
      <w:marRight w:val="0"/>
      <w:marTop w:val="0"/>
      <w:marBottom w:val="0"/>
      <w:divBdr>
        <w:top w:val="none" w:sz="0" w:space="0" w:color="auto"/>
        <w:left w:val="none" w:sz="0" w:space="0" w:color="auto"/>
        <w:bottom w:val="none" w:sz="0" w:space="0" w:color="auto"/>
        <w:right w:val="none" w:sz="0" w:space="0" w:color="auto"/>
      </w:divBdr>
    </w:div>
    <w:div w:id="2051101176">
      <w:bodyDiv w:val="1"/>
      <w:marLeft w:val="0"/>
      <w:marRight w:val="0"/>
      <w:marTop w:val="0"/>
      <w:marBottom w:val="0"/>
      <w:divBdr>
        <w:top w:val="none" w:sz="0" w:space="0" w:color="auto"/>
        <w:left w:val="none" w:sz="0" w:space="0" w:color="auto"/>
        <w:bottom w:val="none" w:sz="0" w:space="0" w:color="auto"/>
        <w:right w:val="none" w:sz="0" w:space="0" w:color="auto"/>
      </w:divBdr>
    </w:div>
    <w:div w:id="2052341888">
      <w:bodyDiv w:val="1"/>
      <w:marLeft w:val="0"/>
      <w:marRight w:val="0"/>
      <w:marTop w:val="0"/>
      <w:marBottom w:val="0"/>
      <w:divBdr>
        <w:top w:val="none" w:sz="0" w:space="0" w:color="auto"/>
        <w:left w:val="none" w:sz="0" w:space="0" w:color="auto"/>
        <w:bottom w:val="none" w:sz="0" w:space="0" w:color="auto"/>
        <w:right w:val="none" w:sz="0" w:space="0" w:color="auto"/>
      </w:divBdr>
    </w:div>
    <w:div w:id="2126076570">
      <w:bodyDiv w:val="1"/>
      <w:marLeft w:val="0"/>
      <w:marRight w:val="0"/>
      <w:marTop w:val="0"/>
      <w:marBottom w:val="0"/>
      <w:divBdr>
        <w:top w:val="none" w:sz="0" w:space="0" w:color="auto"/>
        <w:left w:val="none" w:sz="0" w:space="0" w:color="auto"/>
        <w:bottom w:val="none" w:sz="0" w:space="0" w:color="auto"/>
        <w:right w:val="none" w:sz="0" w:space="0" w:color="auto"/>
      </w:divBdr>
      <w:divsChild>
        <w:div w:id="1459031104">
          <w:marLeft w:val="547"/>
          <w:marRight w:val="0"/>
          <w:marTop w:val="0"/>
          <w:marBottom w:val="0"/>
          <w:divBdr>
            <w:top w:val="none" w:sz="0" w:space="0" w:color="auto"/>
            <w:left w:val="none" w:sz="0" w:space="0" w:color="auto"/>
            <w:bottom w:val="none" w:sz="0" w:space="0" w:color="auto"/>
            <w:right w:val="none" w:sz="0" w:space="0" w:color="auto"/>
          </w:divBdr>
        </w:div>
        <w:div w:id="2132893696">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diagramDrawing" Target="diagrams/drawing1.xml"/><Relationship Id="rId18" Type="http://schemas.openxmlformats.org/officeDocument/2006/relationships/header" Target="header3.xml"/><Relationship Id="rId26" Type="http://schemas.openxmlformats.org/officeDocument/2006/relationships/image" Target="media/image4.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hyperlink" Target="http://www.ffiec.gov/ratespread/newcalc.aspx" TargetMode="External"/><Relationship Id="rId42" Type="http://schemas.microsoft.com/office/2011/relationships/commentsExtended" Target="commentsExtended.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hyperlink" Target="http://www.consumerfinance.gov/regulations/" TargetMode="External"/><Relationship Id="rId25" Type="http://schemas.openxmlformats.org/officeDocument/2006/relationships/header" Target="header6.xml"/><Relationship Id="rId33" Type="http://schemas.openxmlformats.org/officeDocument/2006/relationships/header" Target="header10.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http://www.ecfr.gov/cgi-bin/text-idx?c=ecfr&amp;SID=0af7fa0fc8ba849eaf26e1619cf8b0c1&amp;rgn=div5&amp;view=text&amp;node=12:8.0.2.10.18&amp;idno=12" TargetMode="Externa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3.jpeg"/><Relationship Id="rId32" Type="http://schemas.openxmlformats.org/officeDocument/2006/relationships/header" Target="header9.xml"/><Relationship Id="rId37"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www.consumerfinance.gov/regulatory-implementation/tila-respa/" TargetMode="External"/><Relationship Id="rId28" Type="http://schemas.openxmlformats.org/officeDocument/2006/relationships/image" Target="media/image6.emf"/><Relationship Id="rId36" Type="http://schemas.openxmlformats.org/officeDocument/2006/relationships/image" Target="media/image7.png"/><Relationship Id="rId10" Type="http://schemas.openxmlformats.org/officeDocument/2006/relationships/diagramLayout" Target="diagrams/layout1.xml"/><Relationship Id="rId19" Type="http://schemas.openxmlformats.org/officeDocument/2006/relationships/header" Target="header4.xml"/><Relationship Id="rId31" Type="http://schemas.openxmlformats.org/officeDocument/2006/relationships/hyperlink" Target="http://www.federalreserve.gov/bankinforeg/reglisting.htm" TargetMode="Externa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image" Target="media/image5.emf"/><Relationship Id="rId30" Type="http://schemas.openxmlformats.org/officeDocument/2006/relationships/header" Target="header8.xml"/><Relationship Id="rId35" Type="http://schemas.openxmlformats.org/officeDocument/2006/relationships/header" Target="header11.xml"/><Relationship Id="rId43" Type="http://schemas.microsoft.com/office/2011/relationships/people" Target="people.xml"/></Relationships>
</file>

<file path=word/_rels/footnotes.xml.rels><?xml version="1.0" encoding="UTF-8" standalone="yes"?>
<Relationships xmlns="http://schemas.openxmlformats.org/package/2006/relationships"><Relationship Id="rId8" Type="http://schemas.openxmlformats.org/officeDocument/2006/relationships/hyperlink" Target="http://www.ecfr.gov/cgi-bin/text-idx?c=ecfr&amp;SID=0af7fa0fc8ba849eaf26e1619cf8b0c1&amp;rgn=div5&amp;view=text&amp;node=12:8.0.2.10.18&amp;idno=12" TargetMode="External"/><Relationship Id="rId13" Type="http://schemas.openxmlformats.org/officeDocument/2006/relationships/hyperlink" Target="http://www.ecfr.gov/cgi-bin/text-idx?c=ecfr&amp;SID=0af7fa0fc8ba849eaf26e1619cf8b0c1&amp;rgn=div5&amp;view=text&amp;node=12:8.0.2.10.18&amp;idno=12" TargetMode="External"/><Relationship Id="rId18" Type="http://schemas.openxmlformats.org/officeDocument/2006/relationships/hyperlink" Target="http://www.ecfr.gov/cgi-bin/text-idx?c=ecfr&amp;SID=0af7fa0fc8ba849eaf26e1619cf8b0c1&amp;rgn=div5&amp;view=text&amp;node=12:8.0.2.10.18&amp;idno=12" TargetMode="External"/><Relationship Id="rId3" Type="http://schemas.openxmlformats.org/officeDocument/2006/relationships/hyperlink" Target="http://www.ecfr.gov/cgi-bin/text-idx?c=ecfr&amp;SID=0af7fa0fc8ba849eaf26e1619cf8b0c1&amp;rgn=div5&amp;view=text&amp;node=12:8.0.2.10.18&amp;idno=12" TargetMode="External"/><Relationship Id="rId21" Type="http://schemas.openxmlformats.org/officeDocument/2006/relationships/hyperlink" Target="http://www.ecfr.gov/cgi-bin/retrieveECFR?gp=&amp;SID=97d71c964b9fa078909ef25960451fa2&amp;n=12y8.0.2.10.18&amp;r=PART&amp;ty=HTML" TargetMode="External"/><Relationship Id="rId7" Type="http://schemas.openxmlformats.org/officeDocument/2006/relationships/hyperlink" Target="http://www.ecfr.gov/cgi-bin/text-idx?c=ecfr&amp;SID=0af7fa0fc8ba849eaf26e1619cf8b0c1&amp;rgn=div5&amp;view=text&amp;node=12:8.0.2.10.18&amp;idno=12" TargetMode="External"/><Relationship Id="rId12" Type="http://schemas.openxmlformats.org/officeDocument/2006/relationships/hyperlink" Target="http://www.ecfr.gov/cgi-bin/text-idx?c=ecfr&amp;SID=0af7fa0fc8ba849eaf26e1619cf8b0c1&amp;rgn=div5&amp;view=text&amp;node=12:8.0.2.10.18&amp;idno=12" TargetMode="External"/><Relationship Id="rId17" Type="http://schemas.openxmlformats.org/officeDocument/2006/relationships/hyperlink" Target="http://www.ecfr.gov/cgi-bin/text-idx?c=ecfr&amp;SID=0af7fa0fc8ba849eaf26e1619cf8b0c1&amp;rgn=div5&amp;view=text&amp;node=12:8.0.2.10.18&amp;idno=12" TargetMode="External"/><Relationship Id="rId2" Type="http://schemas.openxmlformats.org/officeDocument/2006/relationships/hyperlink" Target="http://www.ecfr.gov/cgi-bin/text-idx?c=ecfr&amp;SID=0af7fa0fc8ba849eaf26e1619cf8b0c1&amp;rgn=div5&amp;view=text&amp;node=12:8.0.2.10.18&amp;idno=12" TargetMode="External"/><Relationship Id="rId16" Type="http://schemas.openxmlformats.org/officeDocument/2006/relationships/hyperlink" Target="http://www.ecfr.gov/cgi-bin/text-idx?c=ecfr&amp;SID=0af7fa0fc8ba849eaf26e1619cf8b0c1&amp;rgn=div5&amp;view=text&amp;node=12:8.0.2.10.18&amp;idno=12" TargetMode="External"/><Relationship Id="rId20" Type="http://schemas.openxmlformats.org/officeDocument/2006/relationships/hyperlink" Target="http://www.ecfr.gov/cgi-bin/text-idx?c=ecfr&amp;SID=777f9fc8013b36ce9e75c32dcc0ad771&amp;rgn=div5&amp;view=text&amp;node=12:8.0.2.10.18&amp;idno=12" TargetMode="External"/><Relationship Id="rId1" Type="http://schemas.openxmlformats.org/officeDocument/2006/relationships/hyperlink" Target="http://www.ecfr.gov/cgi-bin/text-idx?c=ecfr&amp;SID=0af7fa0fc8ba849eaf26e1619cf8b0c1&amp;rgn=div5&amp;view=text&amp;node=12:8.0.2.10.18&amp;idno=12" TargetMode="External"/><Relationship Id="rId6" Type="http://schemas.openxmlformats.org/officeDocument/2006/relationships/hyperlink" Target="http://www.ecfr.gov/cgi-bin/text-idx?c=ecfr&amp;SID=0af7fa0fc8ba849eaf26e1619cf8b0c1&amp;rgn=div5&amp;view=text&amp;node=12:8.0.2.10.18&amp;idno=12" TargetMode="External"/><Relationship Id="rId11" Type="http://schemas.openxmlformats.org/officeDocument/2006/relationships/hyperlink" Target="http://www.ecfr.gov/cgi-bin/text-idx?c=ecfr&amp;SID=0af7fa0fc8ba849eaf26e1619cf8b0c1&amp;rgn=div5&amp;view=text&amp;node=12:8.0.2.10.18&amp;idno=12" TargetMode="External"/><Relationship Id="rId24" Type="http://schemas.openxmlformats.org/officeDocument/2006/relationships/hyperlink" Target="http://www.ecfr.gov/cgi-bin/retrieveECFR?gp=&amp;SID=97d71c964b9fa078909ef25960451fa2&amp;n=12y8.0.2.10.18&amp;r=PART&amp;ty=HTML" TargetMode="External"/><Relationship Id="rId5" Type="http://schemas.openxmlformats.org/officeDocument/2006/relationships/hyperlink" Target="http://www.ecfr.gov/cgi-bin/text-idx?c=ecfr&amp;SID=0af7fa0fc8ba849eaf26e1619cf8b0c1&amp;rgn=div5&amp;view=text&amp;node=12:8.0.2.10.18&amp;idno=12" TargetMode="External"/><Relationship Id="rId15" Type="http://schemas.openxmlformats.org/officeDocument/2006/relationships/hyperlink" Target="http://www.ecfr.gov/cgi-bin/text-idx?c=ecfr&amp;SID=0af7fa0fc8ba849eaf26e1619cf8b0c1&amp;rgn=div5&amp;view=text&amp;node=12:8.0.2.10.18&amp;idno=12" TargetMode="External"/><Relationship Id="rId23" Type="http://schemas.openxmlformats.org/officeDocument/2006/relationships/hyperlink" Target="http://www.ecfr.gov/cgi-bin/retrieveECFR?gp=&amp;SID=97d71c964b9fa078909ef25960451fa2&amp;n=12y8.0.2.10.18&amp;r=PART&amp;ty=HTML" TargetMode="External"/><Relationship Id="rId10" Type="http://schemas.openxmlformats.org/officeDocument/2006/relationships/hyperlink" Target="http://www.ecfr.gov/cgi-bin/text-idx?c=ecfr&amp;SID=0af7fa0fc8ba849eaf26e1619cf8b0c1&amp;rgn=div5&amp;view=text&amp;node=12:8.0.2.10.18&amp;idno=12" TargetMode="External"/><Relationship Id="rId19" Type="http://schemas.openxmlformats.org/officeDocument/2006/relationships/hyperlink" Target="http://www.ecfr.gov/cgi-bin/retrieveECFR?gp=&amp;SID=97d71c964b9fa078909ef25960451fa2&amp;n=12y8.0.2.10.18&amp;r=PART&amp;ty=HTML" TargetMode="External"/><Relationship Id="rId4" Type="http://schemas.openxmlformats.org/officeDocument/2006/relationships/hyperlink" Target="http://www.ecfr.gov/cgi-bin/text-idx?c=ecfr&amp;SID=0af7fa0fc8ba849eaf26e1619cf8b0c1&amp;rgn=div5&amp;view=text&amp;node=12:8.0.2.10.18&amp;idno=12" TargetMode="External"/><Relationship Id="rId9" Type="http://schemas.openxmlformats.org/officeDocument/2006/relationships/hyperlink" Target="http://www.ecfr.gov/cgi-bin/text-idx?c=ecfr&amp;SID=0af7fa0fc8ba849eaf26e1619cf8b0c1&amp;rgn=div5&amp;view=text&amp;node=12:8.0.2.10.18&amp;idno=12" TargetMode="External"/><Relationship Id="rId14" Type="http://schemas.openxmlformats.org/officeDocument/2006/relationships/hyperlink" Target="http://www.ecfr.gov/cgi-bin/text-idx?c=ecfr&amp;SID=0af7fa0fc8ba849eaf26e1619cf8b0c1&amp;rgn=div5&amp;view=text&amp;node=12:8.0.2.10.18&amp;idno=12" TargetMode="External"/><Relationship Id="rId22" Type="http://schemas.openxmlformats.org/officeDocument/2006/relationships/hyperlink" Target="http://www.ecfr.gov/cgi-bin/retrieveECFR?gp=&amp;SID=97d71c964b9fa078909ef25960451fa2&amp;n=12y8.0.2.10.18&amp;r=PART&amp;ty=HTML"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E:\Tripta\Mortgage%20education\Word\me%20-%20v3.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76B0EE7-4AFA-48E5-8673-E4CAA37E0B04}" type="doc">
      <dgm:prSet loTypeId="urn:microsoft.com/office/officeart/2005/8/layout/default#1" loCatId="list" qsTypeId="urn:microsoft.com/office/officeart/2005/8/quickstyle/3d1" qsCatId="3D" csTypeId="urn:microsoft.com/office/officeart/2005/8/colors/accent1_2" csCatId="accent1" phldr="1"/>
      <dgm:spPr/>
      <dgm:t>
        <a:bodyPr/>
        <a:lstStyle/>
        <a:p>
          <a:endParaRPr lang="en-US"/>
        </a:p>
      </dgm:t>
    </dgm:pt>
    <dgm:pt modelId="{AA6A36C3-7A1A-4CC0-BA63-786BB412223E}">
      <dgm:prSet phldrT="[Text]" custT="1">
        <dgm:style>
          <a:lnRef idx="2">
            <a:schemeClr val="accent3"/>
          </a:lnRef>
          <a:fillRef idx="1">
            <a:schemeClr val="lt1"/>
          </a:fillRef>
          <a:effectRef idx="0">
            <a:schemeClr val="accent3"/>
          </a:effectRef>
          <a:fontRef idx="minor">
            <a:schemeClr val="dk1"/>
          </a:fontRef>
        </dgm:style>
      </dgm:prSet>
      <dgm:spPr>
        <a:noFill/>
        <a:effectLst>
          <a:outerShdw blurRad="152400" dist="317500" dir="5400000" sx="90000" sy="-19000" rotWithShape="0">
            <a:prstClr val="black">
              <a:alpha val="15000"/>
            </a:prstClr>
          </a:outerShdw>
          <a:reflection blurRad="6350" stA="50000" endA="300" endPos="55500" dist="50800" dir="5400000" sy="-100000" algn="bl" rotWithShape="0"/>
        </a:effectLst>
      </dgm:spPr>
      <dgm:t>
        <a:bodyPr/>
        <a:lstStyle/>
        <a:p>
          <a:r>
            <a:rPr lang="en-IN" sz="1200"/>
            <a:t>In this course, we are going to cover the Truth-in-Lending Act, generally known as TILA.   Along with any discussion of TILA, there are several important amendments.  One that we will spend a fair amount of time on is HOEPA.   We have also included the newest updates resulting from MDIA.  Knowing TILA well will be critical for your business with regards to regulators, litigation and reputational challenges.  </a:t>
          </a:r>
        </a:p>
        <a:p>
          <a:pPr algn="just">
            <a:spcAft>
              <a:spcPts val="0"/>
            </a:spcAft>
          </a:pPr>
          <a:endParaRPr lang="en-US" sz="1200"/>
        </a:p>
      </dgm:t>
    </dgm:pt>
    <dgm:pt modelId="{1EC9B104-3283-46EE-80AB-04506684E5C4}" type="parTrans" cxnId="{66B580A7-23A4-4AE7-9A7B-957748763135}">
      <dgm:prSet/>
      <dgm:spPr/>
      <dgm:t>
        <a:bodyPr/>
        <a:lstStyle/>
        <a:p>
          <a:endParaRPr lang="en-US"/>
        </a:p>
      </dgm:t>
    </dgm:pt>
    <dgm:pt modelId="{6F4E2925-C43D-4299-8815-7E78732E5A16}" type="sibTrans" cxnId="{66B580A7-23A4-4AE7-9A7B-957748763135}">
      <dgm:prSet/>
      <dgm:spPr/>
      <dgm:t>
        <a:bodyPr/>
        <a:lstStyle/>
        <a:p>
          <a:endParaRPr lang="en-US"/>
        </a:p>
      </dgm:t>
    </dgm:pt>
    <dgm:pt modelId="{501E79CC-C093-4684-9A0D-DC782B3697FC}" type="pres">
      <dgm:prSet presAssocID="{A76B0EE7-4AFA-48E5-8673-E4CAA37E0B04}" presName="diagram" presStyleCnt="0">
        <dgm:presLayoutVars>
          <dgm:dir/>
          <dgm:resizeHandles val="exact"/>
        </dgm:presLayoutVars>
      </dgm:prSet>
      <dgm:spPr/>
      <dgm:t>
        <a:bodyPr/>
        <a:lstStyle/>
        <a:p>
          <a:endParaRPr lang="en-US"/>
        </a:p>
      </dgm:t>
    </dgm:pt>
    <dgm:pt modelId="{0D663258-B04B-48CC-8AB2-C1029218E669}" type="pres">
      <dgm:prSet presAssocID="{AA6A36C3-7A1A-4CC0-BA63-786BB412223E}" presName="node" presStyleLbl="node1" presStyleIdx="0" presStyleCnt="1" custScaleX="266346">
        <dgm:presLayoutVars>
          <dgm:bulletEnabled val="1"/>
        </dgm:presLayoutVars>
      </dgm:prSet>
      <dgm:spPr>
        <a:prstGeom prst="roundRect">
          <a:avLst/>
        </a:prstGeom>
      </dgm:spPr>
      <dgm:t>
        <a:bodyPr/>
        <a:lstStyle/>
        <a:p>
          <a:endParaRPr lang="en-US"/>
        </a:p>
      </dgm:t>
    </dgm:pt>
  </dgm:ptLst>
  <dgm:cxnLst>
    <dgm:cxn modelId="{66B580A7-23A4-4AE7-9A7B-957748763135}" srcId="{A76B0EE7-4AFA-48E5-8673-E4CAA37E0B04}" destId="{AA6A36C3-7A1A-4CC0-BA63-786BB412223E}" srcOrd="0" destOrd="0" parTransId="{1EC9B104-3283-46EE-80AB-04506684E5C4}" sibTransId="{6F4E2925-C43D-4299-8815-7E78732E5A16}"/>
    <dgm:cxn modelId="{6D64B3AE-112A-434B-8CE8-54F25E2A0D55}" type="presOf" srcId="{A76B0EE7-4AFA-48E5-8673-E4CAA37E0B04}" destId="{501E79CC-C093-4684-9A0D-DC782B3697FC}" srcOrd="0" destOrd="0" presId="urn:microsoft.com/office/officeart/2005/8/layout/default#1"/>
    <dgm:cxn modelId="{6CC03A08-E5C0-4238-AEB3-7BE29DB50798}" type="presOf" srcId="{AA6A36C3-7A1A-4CC0-BA63-786BB412223E}" destId="{0D663258-B04B-48CC-8AB2-C1029218E669}" srcOrd="0" destOrd="0" presId="urn:microsoft.com/office/officeart/2005/8/layout/default#1"/>
    <dgm:cxn modelId="{E6EB5BA5-43D4-4A61-9BE5-9ACA13ED4F69}" type="presParOf" srcId="{501E79CC-C093-4684-9A0D-DC782B3697FC}" destId="{0D663258-B04B-48CC-8AB2-C1029218E669}" srcOrd="0" destOrd="0" presId="urn:microsoft.com/office/officeart/2005/8/layout/default#1"/>
  </dgm:cxnLst>
  <dgm:bg/>
  <dgm:whole/>
  <dgm:extLst>
    <a:ext uri="http://schemas.microsoft.com/office/drawing/2008/diagram">
      <dsp:dataModelExt xmlns:dsp="http://schemas.microsoft.com/office/drawing/2008/diagram" xmlns="" relId="rId1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D663258-B04B-48CC-8AB2-C1029218E669}">
      <dsp:nvSpPr>
        <dsp:cNvPr id="0" name=""/>
        <dsp:cNvSpPr/>
      </dsp:nvSpPr>
      <dsp:spPr>
        <a:xfrm>
          <a:off x="3295" y="182481"/>
          <a:ext cx="5474513" cy="1233248"/>
        </a:xfrm>
        <a:prstGeom prst="roundRect">
          <a:avLst/>
        </a:prstGeom>
        <a:noFill/>
        <a:ln w="25400" cap="flat" cmpd="sng" algn="ctr">
          <a:solidFill>
            <a:schemeClr val="accent3"/>
          </a:solidFill>
          <a:prstDash val="solid"/>
        </a:ln>
        <a:effectLst>
          <a:outerShdw blurRad="152400" dist="317500" dir="5400000" sx="90000" sy="-19000" rotWithShape="0">
            <a:prstClr val="black">
              <a:alpha val="15000"/>
            </a:prstClr>
          </a:outerShdw>
          <a:reflection blurRad="6350" stA="50000" endA="300" endPos="55500" dist="50800" dir="5400000" sy="-100000" algn="bl" rotWithShape="0"/>
        </a:effectLst>
        <a:scene3d>
          <a:camera prst="orthographicFront"/>
          <a:lightRig rig="flat" dir="t"/>
        </a:scene3d>
        <a:sp3d/>
      </dsp:spPr>
      <dsp:style>
        <a:lnRef idx="2">
          <a:schemeClr val="accent3"/>
        </a:lnRef>
        <a:fillRef idx="1">
          <a:schemeClr val="lt1"/>
        </a:fillRef>
        <a:effectRef idx="0">
          <a:schemeClr val="accent3"/>
        </a:effectRef>
        <a:fontRef idx="minor">
          <a:schemeClr val="dk1"/>
        </a:fontRef>
      </dsp:style>
      <dsp:txBody>
        <a:bodyPr spcFirstLastPara="0" vert="horz" wrap="square" lIns="45720" tIns="45720" rIns="45720" bIns="45720" numCol="1" spcCol="1270" anchor="ctr" anchorCtr="0">
          <a:noAutofit/>
        </a:bodyPr>
        <a:lstStyle/>
        <a:p>
          <a:pPr lvl="0" defTabSz="533400">
            <a:lnSpc>
              <a:spcPct val="90000"/>
            </a:lnSpc>
            <a:spcBef>
              <a:spcPct val="0"/>
            </a:spcBef>
          </a:pPr>
          <a:r>
            <a:rPr lang="en-IN" sz="1200" kern="1200"/>
            <a:t>In this course, we are going to cover the Truth-in-Lending Act, generally known as TILA.   Along with any discussion of TILA, there are several important amendments.  One that we will spend a fair amount of time on is HOEPA.   We have also included the newest updates resulting from MDIA.  Knowing TILA well will be critical for your business with regards to regulators, litigation and reputational challenges.  </a:t>
          </a:r>
        </a:p>
        <a:p>
          <a:pPr lvl="0" algn="just" defTabSz="533400">
            <a:lnSpc>
              <a:spcPct val="90000"/>
            </a:lnSpc>
            <a:spcBef>
              <a:spcPct val="0"/>
            </a:spcBef>
            <a:spcAft>
              <a:spcPts val="0"/>
            </a:spcAft>
          </a:pPr>
          <a:endParaRPr lang="en-US" sz="1200" kern="1200"/>
        </a:p>
      </dsp:txBody>
      <dsp:txXfrm>
        <a:off x="3295" y="182481"/>
        <a:ext cx="5474513" cy="1233248"/>
      </dsp:txXfrm>
    </dsp:sp>
  </dsp:spTree>
</dsp:drawing>
</file>

<file path=word/diagrams/layout1.xml><?xml version="1.0" encoding="utf-8"?>
<dgm:layoutDef xmlns:dgm="http://schemas.openxmlformats.org/drawingml/2006/diagram" xmlns:a="http://schemas.openxmlformats.org/drawingml/2006/main" uniqueId="urn:microsoft.com/office/officeart/2005/8/layout/default#1">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m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e">
      <a:majorFont>
        <a:latin typeface="Humnst777 Lt BT"/>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ECFD72-6305-4B2E-B332-C545F8ACC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 - v3.dotx</Template>
  <TotalTime>1</TotalTime>
  <Pages>56</Pages>
  <Words>13880</Words>
  <Characters>79118</Characters>
  <Application>Microsoft Office Word</Application>
  <DocSecurity>0</DocSecurity>
  <Lines>659</Lines>
  <Paragraphs>185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92813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Tripta</dc:creator>
  <cp:lastModifiedBy>Randi</cp:lastModifiedBy>
  <cp:revision>2</cp:revision>
  <cp:lastPrinted>2014-07-22T22:32:00Z</cp:lastPrinted>
  <dcterms:created xsi:type="dcterms:W3CDTF">2014-07-24T23:51:00Z</dcterms:created>
  <dcterms:modified xsi:type="dcterms:W3CDTF">2014-07-24T23:51:00Z</dcterms:modified>
</cp:coreProperties>
</file>